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EE" w:rsidRDefault="00C502EE" w:rsidP="00927812">
      <w:pPr>
        <w:spacing w:after="0" w:line="240" w:lineRule="auto"/>
        <w:jc w:val="center"/>
        <w:rPr>
          <w:rFonts w:ascii="Century Gothic" w:eastAsia="Times New Roman" w:hAnsi="Century Gothic" w:cs="Arial"/>
          <w:bCs/>
          <w:color w:val="212529"/>
          <w:sz w:val="40"/>
          <w:lang w:val="es-PE" w:eastAsia="es-PE"/>
        </w:rPr>
      </w:pPr>
      <w:r w:rsidRPr="00C502EE">
        <w:rPr>
          <w:rFonts w:ascii="Century Gothic" w:eastAsia="Times New Roman" w:hAnsi="Century Gothic" w:cs="Arial"/>
          <w:bCs/>
          <w:color w:val="212529"/>
          <w:sz w:val="40"/>
          <w:lang w:val="es-PE" w:eastAsia="es-PE"/>
        </w:rPr>
        <w:t>Cajamarca – Perú</w:t>
      </w:r>
    </w:p>
    <w:p w:rsidR="00C502EE" w:rsidRDefault="00C502EE" w:rsidP="00927812">
      <w:pPr>
        <w:spacing w:after="0" w:line="240" w:lineRule="auto"/>
        <w:rPr>
          <w:rFonts w:ascii="Century Gothic" w:eastAsia="Times New Roman" w:hAnsi="Century Gothic" w:cs="Arial"/>
          <w:b/>
          <w:bCs/>
          <w:color w:val="212529"/>
          <w:lang w:val="es-PE" w:eastAsia="es-PE"/>
        </w:rPr>
      </w:pPr>
      <w:bookmarkStart w:id="0" w:name="_GoBack"/>
      <w:bookmarkEnd w:id="0"/>
    </w:p>
    <w:p w:rsidR="00C502EE" w:rsidRPr="00FE1DCF" w:rsidRDefault="00C502EE" w:rsidP="00927812">
      <w:p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b/>
          <w:bCs/>
          <w:color w:val="212529"/>
          <w:lang w:val="es-PE" w:eastAsia="es-PE"/>
        </w:rPr>
        <w:t>Introducción general</w:t>
      </w:r>
    </w:p>
    <w:p w:rsidR="009910E5" w:rsidRDefault="009910E5" w:rsidP="00927812">
      <w:pPr>
        <w:numPr>
          <w:ilvl w:val="0"/>
          <w:numId w:val="1"/>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Fronteras y Ubicación</w:t>
      </w:r>
    </w:p>
    <w:p w:rsidR="00DF67A0" w:rsidRDefault="00DF67A0" w:rsidP="009910E5">
      <w:pPr>
        <w:numPr>
          <w:ilvl w:val="1"/>
          <w:numId w:val="1"/>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 xml:space="preserve">Cajamarca </w:t>
      </w:r>
      <w:r w:rsidR="00DA600E">
        <w:rPr>
          <w:rFonts w:ascii="Century Gothic" w:eastAsia="Times New Roman" w:hAnsi="Century Gothic" w:cs="Arial"/>
          <w:color w:val="212529"/>
          <w:lang w:val="es-PE" w:eastAsia="es-PE"/>
        </w:rPr>
        <w:t xml:space="preserve">con un área de superficie de </w:t>
      </w:r>
      <w:r w:rsidR="00DA6215">
        <w:rPr>
          <w:rFonts w:ascii="Century Gothic" w:eastAsia="Times New Roman" w:hAnsi="Century Gothic" w:cs="Arial"/>
          <w:color w:val="212529"/>
          <w:lang w:val="es-PE" w:eastAsia="es-PE"/>
        </w:rPr>
        <w:t>33 318</w:t>
      </w:r>
      <w:r w:rsidR="00DA600E">
        <w:rPr>
          <w:rFonts w:ascii="Century Gothic" w:eastAsia="Times New Roman" w:hAnsi="Century Gothic" w:cs="Arial"/>
          <w:color w:val="212529"/>
          <w:lang w:val="es-PE" w:eastAsia="es-PE"/>
        </w:rPr>
        <w:t xml:space="preserve"> km2 </w:t>
      </w:r>
      <w:r>
        <w:rPr>
          <w:rFonts w:ascii="Century Gothic" w:eastAsia="Times New Roman" w:hAnsi="Century Gothic" w:cs="Arial"/>
          <w:color w:val="212529"/>
          <w:lang w:val="es-PE" w:eastAsia="es-PE"/>
        </w:rPr>
        <w:t xml:space="preserve">ubicada en Perú. Límite al norte con </w:t>
      </w:r>
      <w:r w:rsidR="00DA6215">
        <w:rPr>
          <w:rFonts w:ascii="Century Gothic" w:eastAsia="Times New Roman" w:hAnsi="Century Gothic" w:cs="Arial"/>
          <w:color w:val="212529"/>
          <w:lang w:val="es-PE" w:eastAsia="es-PE"/>
        </w:rPr>
        <w:t>el país Ecuador, al oeste con las regiones Piura y Lambayeque, al sur con la región La Libertad y al este con la región Amazonas</w:t>
      </w:r>
    </w:p>
    <w:p w:rsidR="00DF67A0" w:rsidRDefault="00DF67A0" w:rsidP="00927812">
      <w:pPr>
        <w:spacing w:after="0" w:line="240" w:lineRule="auto"/>
        <w:rPr>
          <w:rFonts w:ascii="Century Gothic" w:eastAsia="Times New Roman" w:hAnsi="Century Gothic" w:cs="Arial"/>
          <w:color w:val="212529"/>
          <w:lang w:val="es-PE" w:eastAsia="es-PE"/>
        </w:rPr>
      </w:pPr>
    </w:p>
    <w:p w:rsidR="00DF67A0" w:rsidRDefault="00DA6215" w:rsidP="00927812">
      <w:pPr>
        <w:spacing w:after="0" w:line="240" w:lineRule="auto"/>
        <w:rPr>
          <w:rFonts w:ascii="Century Gothic" w:eastAsia="Times New Roman" w:hAnsi="Century Gothic" w:cs="Arial"/>
          <w:color w:val="212529"/>
          <w:lang w:val="es-PE" w:eastAsia="es-PE"/>
        </w:rPr>
      </w:pPr>
      <w:r>
        <w:rPr>
          <w:noProof/>
          <w:lang w:val="es-PE" w:eastAsia="es-PE"/>
        </w:rPr>
        <w:drawing>
          <wp:anchor distT="0" distB="0" distL="114300" distR="114300" simplePos="0" relativeHeight="251658240" behindDoc="0" locked="0" layoutInCell="1" allowOverlap="1" wp14:anchorId="6C0EA0F8" wp14:editId="0842316C">
            <wp:simplePos x="0" y="0"/>
            <wp:positionH relativeFrom="margin">
              <wp:posOffset>2275367</wp:posOffset>
            </wp:positionH>
            <wp:positionV relativeFrom="paragraph">
              <wp:posOffset>7458</wp:posOffset>
            </wp:positionV>
            <wp:extent cx="1089660" cy="1743710"/>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9660" cy="1743710"/>
                    </a:xfrm>
                    <a:prstGeom prst="rect">
                      <a:avLst/>
                    </a:prstGeom>
                  </pic:spPr>
                </pic:pic>
              </a:graphicData>
            </a:graphic>
            <wp14:sizeRelH relativeFrom="page">
              <wp14:pctWidth>0</wp14:pctWidth>
            </wp14:sizeRelH>
            <wp14:sizeRelV relativeFrom="page">
              <wp14:pctHeight>0</wp14:pctHeight>
            </wp14:sizeRelV>
          </wp:anchor>
        </w:drawing>
      </w:r>
    </w:p>
    <w:p w:rsidR="00DF67A0" w:rsidRDefault="00DF67A0" w:rsidP="00927812">
      <w:pPr>
        <w:spacing w:after="0" w:line="240" w:lineRule="auto"/>
        <w:rPr>
          <w:rFonts w:ascii="Century Gothic" w:eastAsia="Times New Roman" w:hAnsi="Century Gothic" w:cs="Arial"/>
          <w:color w:val="212529"/>
          <w:lang w:val="es-PE" w:eastAsia="es-PE"/>
        </w:rPr>
      </w:pPr>
    </w:p>
    <w:p w:rsidR="00DF67A0" w:rsidRDefault="00DF67A0" w:rsidP="00927812">
      <w:pPr>
        <w:spacing w:after="0" w:line="240" w:lineRule="auto"/>
        <w:rPr>
          <w:rFonts w:ascii="Century Gothic" w:eastAsia="Times New Roman" w:hAnsi="Century Gothic" w:cs="Arial"/>
          <w:color w:val="212529"/>
          <w:lang w:val="es-PE" w:eastAsia="es-PE"/>
        </w:rPr>
      </w:pPr>
    </w:p>
    <w:p w:rsidR="00DF67A0" w:rsidRDefault="00DF67A0" w:rsidP="00927812">
      <w:pPr>
        <w:spacing w:after="0" w:line="240" w:lineRule="auto"/>
        <w:rPr>
          <w:rFonts w:ascii="Century Gothic" w:eastAsia="Times New Roman" w:hAnsi="Century Gothic" w:cs="Arial"/>
          <w:color w:val="212529"/>
          <w:lang w:val="es-PE" w:eastAsia="es-PE"/>
        </w:rPr>
      </w:pPr>
    </w:p>
    <w:p w:rsidR="00DF67A0" w:rsidRDefault="00DF67A0" w:rsidP="00927812">
      <w:pPr>
        <w:spacing w:after="0" w:line="240" w:lineRule="auto"/>
        <w:rPr>
          <w:rFonts w:ascii="Century Gothic" w:eastAsia="Times New Roman" w:hAnsi="Century Gothic" w:cs="Arial"/>
          <w:color w:val="212529"/>
          <w:lang w:val="es-PE" w:eastAsia="es-PE"/>
        </w:rPr>
      </w:pPr>
    </w:p>
    <w:p w:rsidR="00DF67A0" w:rsidRDefault="00DF67A0" w:rsidP="00927812">
      <w:pPr>
        <w:spacing w:after="0" w:line="240" w:lineRule="auto"/>
        <w:rPr>
          <w:rFonts w:ascii="Century Gothic" w:eastAsia="Times New Roman" w:hAnsi="Century Gothic" w:cs="Arial"/>
          <w:color w:val="212529"/>
          <w:lang w:val="es-PE" w:eastAsia="es-PE"/>
        </w:rPr>
      </w:pPr>
    </w:p>
    <w:p w:rsidR="00DF67A0" w:rsidRDefault="00DF67A0" w:rsidP="00927812">
      <w:pPr>
        <w:spacing w:after="0" w:line="240" w:lineRule="auto"/>
        <w:rPr>
          <w:rFonts w:ascii="Century Gothic" w:eastAsia="Times New Roman" w:hAnsi="Century Gothic" w:cs="Arial"/>
          <w:color w:val="212529"/>
          <w:lang w:val="es-PE" w:eastAsia="es-PE"/>
        </w:rPr>
      </w:pPr>
    </w:p>
    <w:p w:rsidR="00DF67A0" w:rsidRDefault="00DF67A0" w:rsidP="00927812">
      <w:pPr>
        <w:spacing w:after="0" w:line="240" w:lineRule="auto"/>
        <w:rPr>
          <w:rFonts w:ascii="Century Gothic" w:eastAsia="Times New Roman" w:hAnsi="Century Gothic" w:cs="Arial"/>
          <w:color w:val="212529"/>
          <w:lang w:val="es-PE" w:eastAsia="es-PE"/>
        </w:rPr>
      </w:pPr>
    </w:p>
    <w:p w:rsidR="00DF67A0" w:rsidRDefault="00DF67A0" w:rsidP="00927812">
      <w:pPr>
        <w:spacing w:after="0" w:line="240" w:lineRule="auto"/>
        <w:rPr>
          <w:rFonts w:ascii="Century Gothic" w:eastAsia="Times New Roman" w:hAnsi="Century Gothic" w:cs="Arial"/>
          <w:color w:val="212529"/>
          <w:lang w:val="es-PE" w:eastAsia="es-PE"/>
        </w:rPr>
      </w:pPr>
    </w:p>
    <w:p w:rsidR="00DF67A0" w:rsidRDefault="00DF67A0" w:rsidP="00927812">
      <w:pPr>
        <w:spacing w:after="0" w:line="240" w:lineRule="auto"/>
        <w:rPr>
          <w:rFonts w:ascii="Century Gothic" w:eastAsia="Times New Roman" w:hAnsi="Century Gothic" w:cs="Arial"/>
          <w:color w:val="212529"/>
          <w:lang w:val="es-PE" w:eastAsia="es-PE"/>
        </w:rPr>
      </w:pPr>
    </w:p>
    <w:p w:rsidR="00DF67A0" w:rsidRDefault="00DF67A0" w:rsidP="00927812">
      <w:pPr>
        <w:spacing w:after="0" w:line="240" w:lineRule="auto"/>
        <w:rPr>
          <w:rFonts w:ascii="Century Gothic" w:eastAsia="Times New Roman" w:hAnsi="Century Gothic" w:cs="Arial"/>
          <w:color w:val="212529"/>
          <w:lang w:val="es-PE" w:eastAsia="es-PE"/>
        </w:rPr>
      </w:pPr>
    </w:p>
    <w:p w:rsidR="00DF67A0" w:rsidRPr="00BB226B" w:rsidRDefault="00DF67A0" w:rsidP="00927812">
      <w:pPr>
        <w:spacing w:after="0" w:line="240" w:lineRule="auto"/>
        <w:rPr>
          <w:rFonts w:ascii="Century Gothic" w:eastAsia="Times New Roman" w:hAnsi="Century Gothic" w:cs="Arial"/>
          <w:i/>
          <w:color w:val="212529"/>
          <w:lang w:val="es-PE" w:eastAsia="es-PE"/>
        </w:rPr>
      </w:pPr>
      <w:r w:rsidRPr="00BB226B">
        <w:rPr>
          <w:rFonts w:ascii="Century Gothic" w:hAnsi="Century Gothic"/>
          <w:i/>
        </w:rPr>
        <w:t>Fuente: https://www.municaj.gob.pe/archivos/pdu/03-CAP-IV-S-1.pdf</w:t>
      </w:r>
    </w:p>
    <w:p w:rsidR="00DF67A0" w:rsidRDefault="00DF67A0" w:rsidP="00927812">
      <w:pPr>
        <w:spacing w:after="0" w:line="240" w:lineRule="auto"/>
        <w:rPr>
          <w:rFonts w:ascii="Century Gothic" w:eastAsia="Times New Roman" w:hAnsi="Century Gothic" w:cs="Arial"/>
          <w:color w:val="212529"/>
          <w:lang w:val="es-PE" w:eastAsia="es-PE"/>
        </w:rPr>
      </w:pPr>
    </w:p>
    <w:p w:rsidR="009910E5" w:rsidRDefault="009910E5" w:rsidP="00927812">
      <w:pPr>
        <w:numPr>
          <w:ilvl w:val="0"/>
          <w:numId w:val="1"/>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Población</w:t>
      </w:r>
    </w:p>
    <w:p w:rsidR="006E4DD7" w:rsidRDefault="006E4DD7" w:rsidP="009910E5">
      <w:pPr>
        <w:numPr>
          <w:ilvl w:val="1"/>
          <w:numId w:val="1"/>
        </w:numPr>
        <w:spacing w:after="0" w:line="240" w:lineRule="auto"/>
        <w:rPr>
          <w:rFonts w:ascii="Century Gothic" w:eastAsia="Times New Roman" w:hAnsi="Century Gothic" w:cs="Arial"/>
          <w:color w:val="212529"/>
          <w:lang w:val="es-PE" w:eastAsia="es-PE"/>
        </w:rPr>
      </w:pPr>
      <w:r w:rsidRPr="00E51BFC">
        <w:rPr>
          <w:rFonts w:ascii="Century Gothic" w:eastAsia="Times New Roman" w:hAnsi="Century Gothic" w:cs="Arial"/>
          <w:color w:val="212529"/>
          <w:lang w:val="es-PE" w:eastAsia="es-PE"/>
        </w:rPr>
        <w:t xml:space="preserve">Población que alcanza </w:t>
      </w:r>
      <w:r w:rsidR="003D6205">
        <w:rPr>
          <w:rFonts w:ascii="Century Gothic" w:eastAsia="Times New Roman" w:hAnsi="Century Gothic" w:cs="Arial"/>
          <w:color w:val="212529"/>
          <w:lang w:val="es-PE" w:eastAsia="es-PE"/>
        </w:rPr>
        <w:t xml:space="preserve">1 341 012 </w:t>
      </w:r>
      <w:r w:rsidR="003D6205" w:rsidRPr="00E51BFC">
        <w:rPr>
          <w:rFonts w:ascii="Century Gothic" w:eastAsia="Times New Roman" w:hAnsi="Century Gothic" w:cs="Arial"/>
          <w:color w:val="212529"/>
          <w:lang w:val="es-PE" w:eastAsia="es-PE"/>
        </w:rPr>
        <w:t>habitantes</w:t>
      </w:r>
      <w:r w:rsidR="00B2071E" w:rsidRPr="00E51BFC">
        <w:rPr>
          <w:rFonts w:ascii="Century Gothic" w:eastAsia="Times New Roman" w:hAnsi="Century Gothic" w:cs="Arial"/>
          <w:color w:val="212529"/>
          <w:lang w:val="es-PE" w:eastAsia="es-PE"/>
        </w:rPr>
        <w:t>. Desde el año 1993 al 2007 hubo un crecimiento poblacional de 2.3.</w:t>
      </w:r>
      <w:r w:rsidR="00E51BFC" w:rsidRPr="00E51BFC">
        <w:rPr>
          <w:rFonts w:ascii="Century Gothic" w:eastAsia="Times New Roman" w:hAnsi="Century Gothic" w:cs="Arial"/>
          <w:color w:val="212529"/>
          <w:lang w:val="es-PE" w:eastAsia="es-PE"/>
        </w:rPr>
        <w:t xml:space="preserve"> Posee un</w:t>
      </w:r>
      <w:r w:rsidR="003D6205">
        <w:rPr>
          <w:rFonts w:ascii="Century Gothic" w:eastAsia="Times New Roman" w:hAnsi="Century Gothic" w:cs="Arial"/>
          <w:color w:val="212529"/>
          <w:lang w:val="es-PE" w:eastAsia="es-PE"/>
        </w:rPr>
        <w:t>a densidad poblacional de 1380.40</w:t>
      </w:r>
      <w:r w:rsidR="00E51BFC" w:rsidRPr="00E51BFC">
        <w:rPr>
          <w:rFonts w:ascii="Century Gothic" w:eastAsia="Times New Roman" w:hAnsi="Century Gothic" w:cs="Arial"/>
          <w:color w:val="212529"/>
          <w:lang w:val="es-PE" w:eastAsia="es-PE"/>
        </w:rPr>
        <w:t xml:space="preserve"> </w:t>
      </w:r>
      <w:proofErr w:type="spellStart"/>
      <w:r w:rsidR="00E51BFC" w:rsidRPr="00E51BFC">
        <w:rPr>
          <w:rFonts w:ascii="Century Gothic" w:eastAsia="Times New Roman" w:hAnsi="Century Gothic" w:cs="Arial"/>
          <w:color w:val="212529"/>
          <w:lang w:val="es-PE" w:eastAsia="es-PE"/>
        </w:rPr>
        <w:t>hab</w:t>
      </w:r>
      <w:proofErr w:type="spellEnd"/>
      <w:r w:rsidR="00E51BFC" w:rsidRPr="00E51BFC">
        <w:rPr>
          <w:rFonts w:ascii="Century Gothic" w:eastAsia="Times New Roman" w:hAnsi="Century Gothic" w:cs="Arial"/>
          <w:color w:val="212529"/>
          <w:lang w:val="es-PE" w:eastAsia="es-PE"/>
        </w:rPr>
        <w:t xml:space="preserve">/km2. La población por sexo corresponde a 49.85% de hombres y 50.15% de hombres. </w:t>
      </w:r>
    </w:p>
    <w:p w:rsidR="006E4DD7" w:rsidRPr="009268A5" w:rsidRDefault="006E4DD7" w:rsidP="00927812">
      <w:pPr>
        <w:spacing w:after="0" w:line="240" w:lineRule="auto"/>
        <w:rPr>
          <w:rFonts w:ascii="Century Gothic" w:hAnsi="Century Gothic"/>
          <w:i/>
        </w:rPr>
      </w:pPr>
      <w:r w:rsidRPr="009268A5">
        <w:rPr>
          <w:rFonts w:ascii="Century Gothic" w:hAnsi="Century Gothic"/>
          <w:i/>
        </w:rPr>
        <w:t xml:space="preserve">Fuente: </w:t>
      </w:r>
      <w:r w:rsidR="00E51BFC" w:rsidRPr="009268A5">
        <w:rPr>
          <w:rFonts w:ascii="Century Gothic" w:hAnsi="Century Gothic"/>
          <w:i/>
        </w:rPr>
        <w:t>https://www.inei.gob.pe/media/MenuRecursivo/noticias/nota-de-prensa-no-194-2018-inei.pdf</w:t>
      </w:r>
    </w:p>
    <w:p w:rsidR="00E51BFC" w:rsidRPr="006E4DD7" w:rsidRDefault="00E51BFC" w:rsidP="00927812">
      <w:pPr>
        <w:spacing w:after="0" w:line="240" w:lineRule="auto"/>
        <w:rPr>
          <w:rFonts w:ascii="Century Gothic" w:eastAsia="Times New Roman" w:hAnsi="Century Gothic" w:cs="Arial"/>
          <w:i/>
          <w:color w:val="212529"/>
          <w:lang w:val="es-PE" w:eastAsia="es-PE"/>
        </w:rPr>
      </w:pPr>
    </w:p>
    <w:p w:rsidR="009910E5" w:rsidRDefault="009910E5" w:rsidP="00927812">
      <w:pPr>
        <w:numPr>
          <w:ilvl w:val="0"/>
          <w:numId w:val="1"/>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Economía</w:t>
      </w:r>
    </w:p>
    <w:p w:rsidR="00C502EE" w:rsidRDefault="00E51BFC" w:rsidP="009910E5">
      <w:pPr>
        <w:numPr>
          <w:ilvl w:val="1"/>
          <w:numId w:val="1"/>
        </w:numPr>
        <w:spacing w:after="0" w:line="240" w:lineRule="auto"/>
        <w:rPr>
          <w:rFonts w:ascii="Century Gothic" w:eastAsia="Times New Roman" w:hAnsi="Century Gothic" w:cs="Arial"/>
          <w:color w:val="212529"/>
          <w:lang w:val="es-PE" w:eastAsia="es-PE"/>
        </w:rPr>
      </w:pPr>
      <w:r w:rsidRPr="00ED32FE">
        <w:rPr>
          <w:rFonts w:ascii="Century Gothic" w:eastAsia="Times New Roman" w:hAnsi="Century Gothic" w:cs="Arial"/>
          <w:color w:val="212529"/>
          <w:lang w:val="es-PE" w:eastAsia="es-PE"/>
        </w:rPr>
        <w:t>Cajamarca es el décimo departamento más importante del país al representar el 3,3 por ciento del VAB sectorial nacional del año 2017</w:t>
      </w:r>
      <w:r w:rsidR="00ED32FE">
        <w:rPr>
          <w:rFonts w:ascii="Century Gothic" w:eastAsia="Times New Roman" w:hAnsi="Century Gothic" w:cs="Arial"/>
          <w:color w:val="212529"/>
          <w:lang w:val="es-PE" w:eastAsia="es-PE"/>
        </w:rPr>
        <w:t xml:space="preserve">. Destaca por la extracción minera de oro y plata por parte de las empresas </w:t>
      </w:r>
      <w:proofErr w:type="spellStart"/>
      <w:r w:rsidR="00ED32FE">
        <w:rPr>
          <w:rFonts w:ascii="Century Gothic" w:eastAsia="Times New Roman" w:hAnsi="Century Gothic" w:cs="Arial"/>
          <w:color w:val="212529"/>
          <w:lang w:val="es-PE" w:eastAsia="es-PE"/>
        </w:rPr>
        <w:t>Yanacocha</w:t>
      </w:r>
      <w:proofErr w:type="spellEnd"/>
      <w:r w:rsidR="00ED32FE">
        <w:rPr>
          <w:rFonts w:ascii="Century Gothic" w:eastAsia="Times New Roman" w:hAnsi="Century Gothic" w:cs="Arial"/>
          <w:color w:val="212529"/>
          <w:lang w:val="es-PE" w:eastAsia="es-PE"/>
        </w:rPr>
        <w:t xml:space="preserve"> y Gold </w:t>
      </w:r>
      <w:proofErr w:type="spellStart"/>
      <w:r w:rsidR="00ED32FE">
        <w:rPr>
          <w:rFonts w:ascii="Century Gothic" w:eastAsia="Times New Roman" w:hAnsi="Century Gothic" w:cs="Arial"/>
          <w:color w:val="212529"/>
          <w:lang w:val="es-PE" w:eastAsia="es-PE"/>
        </w:rPr>
        <w:t>Fields</w:t>
      </w:r>
      <w:proofErr w:type="spellEnd"/>
      <w:r w:rsidR="00ED32FE">
        <w:rPr>
          <w:rFonts w:ascii="Century Gothic" w:eastAsia="Times New Roman" w:hAnsi="Century Gothic" w:cs="Arial"/>
          <w:color w:val="212529"/>
          <w:lang w:val="es-PE" w:eastAsia="es-PE"/>
        </w:rPr>
        <w:t>.</w:t>
      </w:r>
    </w:p>
    <w:p w:rsidR="00ED32FE" w:rsidRPr="009268A5" w:rsidRDefault="00ED32FE" w:rsidP="009268A5">
      <w:pPr>
        <w:numPr>
          <w:ilvl w:val="1"/>
          <w:numId w:val="1"/>
        </w:numPr>
        <w:spacing w:after="0" w:line="240" w:lineRule="auto"/>
        <w:rPr>
          <w:rFonts w:ascii="Century Gothic" w:eastAsia="Times New Roman" w:hAnsi="Century Gothic" w:cs="Arial"/>
          <w:color w:val="212529"/>
          <w:lang w:val="es-PE" w:eastAsia="es-PE"/>
        </w:rPr>
      </w:pPr>
      <w:r w:rsidRPr="009268A5">
        <w:rPr>
          <w:rFonts w:ascii="Century Gothic" w:eastAsia="Times New Roman" w:hAnsi="Century Gothic" w:cs="Arial"/>
          <w:color w:val="212529"/>
          <w:lang w:val="es-PE" w:eastAsia="es-PE"/>
        </w:rPr>
        <w:t>En agricultura, destaca por la producción de arroz, café, papa y leche.</w:t>
      </w:r>
    </w:p>
    <w:p w:rsidR="00ED32FE" w:rsidRPr="009268A5" w:rsidRDefault="00ED32FE" w:rsidP="00927812">
      <w:pPr>
        <w:spacing w:after="0" w:line="240" w:lineRule="auto"/>
        <w:rPr>
          <w:rFonts w:ascii="Century Gothic" w:hAnsi="Century Gothic"/>
          <w:i/>
        </w:rPr>
      </w:pPr>
      <w:r w:rsidRPr="009268A5">
        <w:rPr>
          <w:rFonts w:ascii="Century Gothic" w:hAnsi="Century Gothic"/>
          <w:i/>
        </w:rPr>
        <w:t>Fuente: https://www.bcrp.gob.pe/docs/Sucursales/Trujillo/cajamarca-caracterizacion.pdf</w:t>
      </w:r>
    </w:p>
    <w:p w:rsidR="00ED32FE" w:rsidRPr="00ED32FE" w:rsidRDefault="00ED32FE" w:rsidP="00927812">
      <w:pPr>
        <w:spacing w:after="0" w:line="240" w:lineRule="auto"/>
        <w:rPr>
          <w:rFonts w:ascii="Century Gothic" w:eastAsia="Times New Roman" w:hAnsi="Century Gothic" w:cs="Arial"/>
          <w:i/>
          <w:color w:val="212529"/>
          <w:lang w:val="es-PE" w:eastAsia="es-PE"/>
        </w:rPr>
      </w:pPr>
    </w:p>
    <w:p w:rsidR="00C502EE" w:rsidRPr="00FE1DCF" w:rsidRDefault="00C502EE" w:rsidP="00927812">
      <w:pPr>
        <w:spacing w:after="0" w:line="240" w:lineRule="auto"/>
        <w:ind w:left="720"/>
        <w:rPr>
          <w:rFonts w:ascii="Century Gothic" w:eastAsia="Times New Roman" w:hAnsi="Century Gothic" w:cs="Arial"/>
          <w:color w:val="212529"/>
          <w:lang w:val="es-PE" w:eastAsia="es-PE"/>
        </w:rPr>
      </w:pPr>
    </w:p>
    <w:p w:rsidR="00C502EE" w:rsidRPr="00FE1DCF" w:rsidRDefault="00C502EE" w:rsidP="00927812">
      <w:p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b/>
          <w:bCs/>
          <w:color w:val="212529"/>
          <w:lang w:val="es-PE" w:eastAsia="es-PE"/>
        </w:rPr>
        <w:t>Características biofísicas</w:t>
      </w:r>
    </w:p>
    <w:p w:rsidR="00C502EE" w:rsidRDefault="00C502EE" w:rsidP="00927812">
      <w:pPr>
        <w:numPr>
          <w:ilvl w:val="0"/>
          <w:numId w:val="2"/>
        </w:num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t>Clima</w:t>
      </w:r>
      <w:r w:rsidR="00AB358E">
        <w:rPr>
          <w:rFonts w:ascii="Century Gothic" w:eastAsia="Times New Roman" w:hAnsi="Century Gothic" w:cs="Arial"/>
          <w:color w:val="212529"/>
          <w:lang w:val="es-PE" w:eastAsia="es-PE"/>
        </w:rPr>
        <w:t xml:space="preserve"> y Lluvia</w:t>
      </w:r>
    </w:p>
    <w:p w:rsidR="00A938B9" w:rsidRDefault="00A938B9" w:rsidP="00A938B9">
      <w:pPr>
        <w:numPr>
          <w:ilvl w:val="1"/>
          <w:numId w:val="2"/>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Cajamarca posee distintos sub climas donde lo que más destacan son</w:t>
      </w:r>
      <w:r w:rsidR="00670F33">
        <w:rPr>
          <w:rFonts w:ascii="Century Gothic" w:eastAsia="Times New Roman" w:hAnsi="Century Gothic" w:cs="Arial"/>
          <w:color w:val="212529"/>
          <w:lang w:val="es-PE" w:eastAsia="es-PE"/>
        </w:rPr>
        <w:t xml:space="preserve"> (según clasificación del geógrafo peruano Javier Pulgar Vidal)</w:t>
      </w:r>
      <w:r>
        <w:rPr>
          <w:rFonts w:ascii="Century Gothic" w:eastAsia="Times New Roman" w:hAnsi="Century Gothic" w:cs="Arial"/>
          <w:color w:val="212529"/>
          <w:lang w:val="es-PE" w:eastAsia="es-PE"/>
        </w:rPr>
        <w:t>:</w:t>
      </w:r>
    </w:p>
    <w:p w:rsidR="00A938B9" w:rsidRDefault="00A938B9" w:rsidP="00A938B9">
      <w:pPr>
        <w:numPr>
          <w:ilvl w:val="2"/>
          <w:numId w:val="2"/>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Yunga Marítima: Climas áridos y lluvias que oscilan entre 200 a 450mm</w:t>
      </w:r>
    </w:p>
    <w:p w:rsidR="00A938B9" w:rsidRDefault="00A938B9" w:rsidP="00A938B9">
      <w:pPr>
        <w:numPr>
          <w:ilvl w:val="2"/>
          <w:numId w:val="2"/>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 xml:space="preserve">Yunga Fluvial: Templado – cálido con precipitaciones entre 500 a 1000 </w:t>
      </w:r>
      <w:proofErr w:type="spellStart"/>
      <w:r>
        <w:rPr>
          <w:rFonts w:ascii="Century Gothic" w:eastAsia="Times New Roman" w:hAnsi="Century Gothic" w:cs="Arial"/>
          <w:color w:val="212529"/>
          <w:lang w:val="es-PE" w:eastAsia="es-PE"/>
        </w:rPr>
        <w:t>mm.</w:t>
      </w:r>
      <w:proofErr w:type="spellEnd"/>
    </w:p>
    <w:p w:rsidR="00A938B9" w:rsidRDefault="00A938B9" w:rsidP="00A938B9">
      <w:pPr>
        <w:numPr>
          <w:ilvl w:val="2"/>
          <w:numId w:val="2"/>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 xml:space="preserve">Quechua: templado con precipitaciones de 680 </w:t>
      </w:r>
      <w:proofErr w:type="spellStart"/>
      <w:r>
        <w:rPr>
          <w:rFonts w:ascii="Century Gothic" w:eastAsia="Times New Roman" w:hAnsi="Century Gothic" w:cs="Arial"/>
          <w:color w:val="212529"/>
          <w:lang w:val="es-PE" w:eastAsia="es-PE"/>
        </w:rPr>
        <w:t>mm.</w:t>
      </w:r>
      <w:proofErr w:type="spellEnd"/>
    </w:p>
    <w:p w:rsidR="00A938B9" w:rsidRDefault="00A938B9" w:rsidP="00A938B9">
      <w:pPr>
        <w:numPr>
          <w:ilvl w:val="2"/>
          <w:numId w:val="2"/>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lastRenderedPageBreak/>
        <w:t xml:space="preserve">Jalca: Clima frío con precipitación entre 1100 a 1500 </w:t>
      </w:r>
      <w:proofErr w:type="spellStart"/>
      <w:r>
        <w:rPr>
          <w:rFonts w:ascii="Century Gothic" w:eastAsia="Times New Roman" w:hAnsi="Century Gothic" w:cs="Arial"/>
          <w:color w:val="212529"/>
          <w:lang w:val="es-PE" w:eastAsia="es-PE"/>
        </w:rPr>
        <w:t>mm.</w:t>
      </w:r>
      <w:proofErr w:type="spellEnd"/>
    </w:p>
    <w:p w:rsidR="00A938B9" w:rsidRDefault="00A938B9" w:rsidP="00A938B9">
      <w:pPr>
        <w:numPr>
          <w:ilvl w:val="2"/>
          <w:numId w:val="2"/>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 xml:space="preserve">Ceja Selva y Selva Alta: Clima cálido húmedo a </w:t>
      </w:r>
      <w:proofErr w:type="spellStart"/>
      <w:r>
        <w:rPr>
          <w:rFonts w:ascii="Century Gothic" w:eastAsia="Times New Roman" w:hAnsi="Century Gothic" w:cs="Arial"/>
          <w:color w:val="212529"/>
          <w:lang w:val="es-PE" w:eastAsia="es-PE"/>
        </w:rPr>
        <w:t>semi</w:t>
      </w:r>
      <w:proofErr w:type="spellEnd"/>
      <w:r>
        <w:rPr>
          <w:rFonts w:ascii="Century Gothic" w:eastAsia="Times New Roman" w:hAnsi="Century Gothic" w:cs="Arial"/>
          <w:color w:val="212529"/>
          <w:lang w:val="es-PE" w:eastAsia="es-PE"/>
        </w:rPr>
        <w:t xml:space="preserve"> cálidos húmedo con precipitaciones entre 1300 mm a 2000 </w:t>
      </w:r>
      <w:proofErr w:type="spellStart"/>
      <w:r>
        <w:rPr>
          <w:rFonts w:ascii="Century Gothic" w:eastAsia="Times New Roman" w:hAnsi="Century Gothic" w:cs="Arial"/>
          <w:color w:val="212529"/>
          <w:lang w:val="es-PE" w:eastAsia="es-PE"/>
        </w:rPr>
        <w:t>mm.</w:t>
      </w:r>
      <w:proofErr w:type="spellEnd"/>
    </w:p>
    <w:p w:rsidR="00A938B9" w:rsidRPr="00AB358E" w:rsidRDefault="00AB358E" w:rsidP="00A938B9">
      <w:pPr>
        <w:spacing w:after="0" w:line="240" w:lineRule="auto"/>
        <w:rPr>
          <w:rFonts w:ascii="Century Gothic" w:eastAsia="Times New Roman" w:hAnsi="Century Gothic" w:cs="Arial"/>
          <w:i/>
          <w:color w:val="212529"/>
          <w:lang w:val="es-PE" w:eastAsia="es-PE"/>
        </w:rPr>
      </w:pPr>
      <w:r w:rsidRPr="00AB358E">
        <w:rPr>
          <w:rFonts w:ascii="Century Gothic" w:hAnsi="Century Gothic"/>
          <w:i/>
        </w:rPr>
        <w:t>Fuente:</w:t>
      </w:r>
      <w:r w:rsidR="00A938B9" w:rsidRPr="00AB358E">
        <w:rPr>
          <w:rFonts w:ascii="Century Gothic" w:hAnsi="Century Gothic"/>
          <w:i/>
        </w:rPr>
        <w:t>https://www.minagri.gob.pe/portal/download/pdf/conocenos/transparencia/planes_estrategicos_regionales/cajamarca.pdf</w:t>
      </w:r>
    </w:p>
    <w:p w:rsidR="00C502EE" w:rsidRPr="00FE1DCF" w:rsidRDefault="00C502EE" w:rsidP="00A938B9">
      <w:pPr>
        <w:spacing w:after="0" w:line="240" w:lineRule="auto"/>
        <w:ind w:left="720"/>
        <w:rPr>
          <w:rFonts w:ascii="Century Gothic" w:eastAsia="Times New Roman" w:hAnsi="Century Gothic" w:cs="Arial"/>
          <w:color w:val="212529"/>
          <w:lang w:val="es-PE" w:eastAsia="es-PE"/>
        </w:rPr>
      </w:pPr>
    </w:p>
    <w:p w:rsidR="00C502EE" w:rsidRDefault="00C502EE" w:rsidP="00927812">
      <w:pPr>
        <w:numPr>
          <w:ilvl w:val="0"/>
          <w:numId w:val="2"/>
        </w:num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t xml:space="preserve">Ecosistema y tipos de vegetación </w:t>
      </w:r>
      <w:r w:rsidR="00713173">
        <w:rPr>
          <w:rFonts w:ascii="Century Gothic" w:eastAsia="Times New Roman" w:hAnsi="Century Gothic" w:cs="Arial"/>
          <w:color w:val="212529"/>
          <w:lang w:val="es-PE" w:eastAsia="es-PE"/>
        </w:rPr>
        <w:t>y Biodiversidad</w:t>
      </w:r>
    </w:p>
    <w:p w:rsidR="00713173" w:rsidRPr="00713173" w:rsidRDefault="00713173" w:rsidP="00FD0477">
      <w:pPr>
        <w:numPr>
          <w:ilvl w:val="1"/>
          <w:numId w:val="2"/>
        </w:numPr>
        <w:spacing w:after="0" w:line="240" w:lineRule="auto"/>
        <w:rPr>
          <w:rFonts w:ascii="Century Gothic" w:eastAsia="Times New Roman" w:hAnsi="Century Gothic" w:cs="Arial"/>
          <w:color w:val="212529"/>
          <w:lang w:val="es-PE" w:eastAsia="es-PE"/>
        </w:rPr>
      </w:pPr>
      <w:r w:rsidRPr="00713173">
        <w:rPr>
          <w:rFonts w:ascii="Century Gothic" w:eastAsia="Times New Roman" w:hAnsi="Century Gothic" w:cs="Arial"/>
          <w:color w:val="212529"/>
          <w:lang w:val="es-PE" w:eastAsia="es-PE"/>
        </w:rPr>
        <w:t xml:space="preserve">De acuerdo a la clasificación de </w:t>
      </w:r>
      <w:proofErr w:type="spellStart"/>
      <w:r w:rsidRPr="00713173">
        <w:rPr>
          <w:rFonts w:ascii="Century Gothic" w:eastAsia="Times New Roman" w:hAnsi="Century Gothic" w:cs="Arial"/>
          <w:color w:val="212529"/>
          <w:lang w:val="es-PE" w:eastAsia="es-PE"/>
        </w:rPr>
        <w:t>Holdridge</w:t>
      </w:r>
      <w:proofErr w:type="spellEnd"/>
      <w:r w:rsidRPr="00713173">
        <w:rPr>
          <w:rFonts w:ascii="Century Gothic" w:eastAsia="Times New Roman" w:hAnsi="Century Gothic" w:cs="Arial"/>
          <w:color w:val="212529"/>
          <w:lang w:val="es-PE" w:eastAsia="es-PE"/>
        </w:rPr>
        <w:t>, existen 23 zonas de vida en el departamento de Cajamarca. Si las reagrupamos en grandes ecosistemas, predomina el ecosistema de bosque que cuenta con una gran diversidad (según altitud, latitud, localización y niveles de deterioro). Se tiene: 2632788 Hectáreas de Bosques, 106949 Hectáreas de Estepas, 255056 Hectáreas de Matorrales, 254738 Hectáreas de Monte espinoso, 67272 Hectáreas de Tundras y páramos y 29868 Hectáreas de Desierto.</w:t>
      </w:r>
    </w:p>
    <w:p w:rsidR="00713173" w:rsidRPr="00AB358E" w:rsidRDefault="00713173" w:rsidP="00713173">
      <w:pPr>
        <w:spacing w:after="0" w:line="240" w:lineRule="auto"/>
        <w:rPr>
          <w:rFonts w:ascii="Century Gothic" w:eastAsia="Times New Roman" w:hAnsi="Century Gothic" w:cs="Arial"/>
          <w:i/>
          <w:color w:val="212529"/>
          <w:lang w:val="es-PE" w:eastAsia="es-PE"/>
        </w:rPr>
      </w:pPr>
      <w:r w:rsidRPr="00AB358E">
        <w:rPr>
          <w:rFonts w:ascii="Century Gothic" w:hAnsi="Century Gothic"/>
          <w:i/>
        </w:rPr>
        <w:t>Fuente:https://www.minagri.gob.pe/portal/download/pdf/conocenos/transparencia/planes_estrategicos_regionales/cajamarca.pdf</w:t>
      </w:r>
    </w:p>
    <w:p w:rsidR="00713173" w:rsidRPr="00FE1DCF" w:rsidRDefault="00713173" w:rsidP="00713173">
      <w:pPr>
        <w:spacing w:after="0" w:line="240" w:lineRule="auto"/>
        <w:rPr>
          <w:rFonts w:ascii="Century Gothic" w:eastAsia="Times New Roman" w:hAnsi="Century Gothic" w:cs="Arial"/>
          <w:color w:val="212529"/>
          <w:lang w:val="es-PE" w:eastAsia="es-PE"/>
        </w:rPr>
      </w:pPr>
    </w:p>
    <w:p w:rsidR="00C502EE" w:rsidRDefault="00C502EE" w:rsidP="009268A5">
      <w:pPr>
        <w:numPr>
          <w:ilvl w:val="0"/>
          <w:numId w:val="2"/>
        </w:num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t>Depósitos minerales dentro de la ciudad (pasado y/o presente)</w:t>
      </w:r>
    </w:p>
    <w:p w:rsidR="00713173" w:rsidRDefault="00B35769" w:rsidP="00B35769">
      <w:pPr>
        <w:numPr>
          <w:ilvl w:val="1"/>
          <w:numId w:val="2"/>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 xml:space="preserve">Minas de </w:t>
      </w:r>
      <w:proofErr w:type="spellStart"/>
      <w:r>
        <w:rPr>
          <w:rFonts w:ascii="Century Gothic" w:eastAsia="Times New Roman" w:hAnsi="Century Gothic" w:cs="Arial"/>
          <w:color w:val="212529"/>
          <w:lang w:val="es-PE" w:eastAsia="es-PE"/>
        </w:rPr>
        <w:t>Cascabamba</w:t>
      </w:r>
      <w:proofErr w:type="spellEnd"/>
      <w:r>
        <w:rPr>
          <w:rFonts w:ascii="Century Gothic" w:eastAsia="Times New Roman" w:hAnsi="Century Gothic" w:cs="Arial"/>
          <w:color w:val="212529"/>
          <w:lang w:val="es-PE" w:eastAsia="es-PE"/>
        </w:rPr>
        <w:t xml:space="preserve"> en </w:t>
      </w:r>
      <w:proofErr w:type="spellStart"/>
      <w:r>
        <w:rPr>
          <w:rFonts w:ascii="Century Gothic" w:eastAsia="Times New Roman" w:hAnsi="Century Gothic" w:cs="Arial"/>
          <w:color w:val="212529"/>
          <w:lang w:val="es-PE" w:eastAsia="es-PE"/>
        </w:rPr>
        <w:t>Contumaza</w:t>
      </w:r>
      <w:proofErr w:type="spellEnd"/>
      <w:r>
        <w:rPr>
          <w:rFonts w:ascii="Century Gothic" w:eastAsia="Times New Roman" w:hAnsi="Century Gothic" w:cs="Arial"/>
          <w:color w:val="212529"/>
          <w:lang w:val="es-PE" w:eastAsia="es-PE"/>
        </w:rPr>
        <w:t xml:space="preserve"> donde se extrae oro y plata</w:t>
      </w:r>
    </w:p>
    <w:p w:rsidR="00B35769" w:rsidRDefault="00B35769" w:rsidP="00B35769">
      <w:pPr>
        <w:numPr>
          <w:ilvl w:val="1"/>
          <w:numId w:val="2"/>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 xml:space="preserve">Caserío de los higos en Santa Cruz de </w:t>
      </w:r>
      <w:proofErr w:type="spellStart"/>
      <w:r>
        <w:rPr>
          <w:rFonts w:ascii="Century Gothic" w:eastAsia="Times New Roman" w:hAnsi="Century Gothic" w:cs="Arial"/>
          <w:color w:val="212529"/>
          <w:lang w:val="es-PE" w:eastAsia="es-PE"/>
        </w:rPr>
        <w:t>Toled</w:t>
      </w:r>
      <w:proofErr w:type="spellEnd"/>
      <w:r>
        <w:rPr>
          <w:rFonts w:ascii="Century Gothic" w:eastAsia="Times New Roman" w:hAnsi="Century Gothic" w:cs="Arial"/>
          <w:color w:val="212529"/>
          <w:lang w:val="es-PE" w:eastAsia="es-PE"/>
        </w:rPr>
        <w:t xml:space="preserve"> donde se extrae oro, plata, cobre, cuarzo.</w:t>
      </w:r>
    </w:p>
    <w:p w:rsidR="00B35769" w:rsidRPr="00B35769" w:rsidRDefault="00B35769" w:rsidP="00C42352">
      <w:pPr>
        <w:numPr>
          <w:ilvl w:val="1"/>
          <w:numId w:val="2"/>
        </w:numPr>
        <w:spacing w:after="0" w:line="240" w:lineRule="auto"/>
        <w:rPr>
          <w:rFonts w:ascii="Century Gothic" w:eastAsia="Times New Roman" w:hAnsi="Century Gothic" w:cs="Arial"/>
          <w:color w:val="212529"/>
          <w:lang w:val="es-PE" w:eastAsia="es-PE"/>
        </w:rPr>
      </w:pPr>
      <w:r w:rsidRPr="00B35769">
        <w:rPr>
          <w:rFonts w:ascii="Century Gothic" w:eastAsia="Times New Roman" w:hAnsi="Century Gothic" w:cs="Arial"/>
          <w:color w:val="212529"/>
          <w:lang w:val="es-PE" w:eastAsia="es-PE"/>
        </w:rPr>
        <w:t xml:space="preserve">Cantera de cemento Pacasmayo en </w:t>
      </w:r>
      <w:proofErr w:type="spellStart"/>
      <w:r w:rsidRPr="00B35769">
        <w:rPr>
          <w:rFonts w:ascii="Century Gothic" w:eastAsia="Times New Roman" w:hAnsi="Century Gothic" w:cs="Arial"/>
          <w:color w:val="212529"/>
          <w:lang w:val="es-PE" w:eastAsia="es-PE"/>
        </w:rPr>
        <w:t>Yonan</w:t>
      </w:r>
      <w:proofErr w:type="spellEnd"/>
      <w:r w:rsidRPr="00B35769">
        <w:rPr>
          <w:rFonts w:ascii="Century Gothic" w:eastAsia="Times New Roman" w:hAnsi="Century Gothic" w:cs="Arial"/>
          <w:color w:val="212529"/>
          <w:lang w:val="es-PE" w:eastAsia="es-PE"/>
        </w:rPr>
        <w:t xml:space="preserve"> donde se extrae caliza y arcilla</w:t>
      </w:r>
    </w:p>
    <w:p w:rsidR="00C502EE" w:rsidRDefault="00B35769" w:rsidP="00B35769">
      <w:pPr>
        <w:spacing w:after="0" w:line="240" w:lineRule="auto"/>
        <w:rPr>
          <w:rFonts w:ascii="Century Gothic" w:hAnsi="Century Gothic"/>
          <w:i/>
        </w:rPr>
      </w:pPr>
      <w:r w:rsidRPr="00B35769">
        <w:rPr>
          <w:rFonts w:ascii="Century Gothic" w:hAnsi="Century Gothic"/>
          <w:i/>
        </w:rPr>
        <w:t>Fuente:http://proyectos.inei.gob.pe/web/biblioineipub/bancopub/Est/lib0358/c0604.htm</w:t>
      </w:r>
    </w:p>
    <w:p w:rsidR="00B35769" w:rsidRPr="00B35769" w:rsidRDefault="00B35769" w:rsidP="00B35769">
      <w:pPr>
        <w:spacing w:after="0" w:line="240" w:lineRule="auto"/>
        <w:rPr>
          <w:rFonts w:ascii="Century Gothic" w:eastAsia="Times New Roman" w:hAnsi="Century Gothic" w:cs="Arial"/>
          <w:i/>
          <w:color w:val="212529"/>
          <w:lang w:val="es-PE" w:eastAsia="es-PE"/>
        </w:rPr>
      </w:pPr>
    </w:p>
    <w:p w:rsidR="00C502EE" w:rsidRPr="00FE1DCF" w:rsidRDefault="00C502EE" w:rsidP="009268A5">
      <w:p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b/>
          <w:bCs/>
          <w:color w:val="212529"/>
          <w:lang w:val="es-PE" w:eastAsia="es-PE"/>
        </w:rPr>
        <w:t>Infraestructura</w:t>
      </w:r>
    </w:p>
    <w:p w:rsidR="009268A5" w:rsidRDefault="009268A5" w:rsidP="009268A5">
      <w:pPr>
        <w:numPr>
          <w:ilvl w:val="0"/>
          <w:numId w:val="3"/>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Infraestructura Energética</w:t>
      </w:r>
    </w:p>
    <w:p w:rsidR="00C321BD" w:rsidRPr="009268A5" w:rsidRDefault="00C321BD" w:rsidP="00E34AA9">
      <w:pPr>
        <w:numPr>
          <w:ilvl w:val="1"/>
          <w:numId w:val="3"/>
        </w:numPr>
        <w:spacing w:after="0" w:line="240" w:lineRule="auto"/>
        <w:rPr>
          <w:rFonts w:ascii="Century Gothic" w:eastAsia="Times New Roman" w:hAnsi="Century Gothic" w:cs="Arial"/>
          <w:color w:val="212529"/>
          <w:lang w:val="es-PE" w:eastAsia="es-PE"/>
        </w:rPr>
      </w:pPr>
      <w:r w:rsidRPr="009268A5">
        <w:rPr>
          <w:rFonts w:ascii="Century Gothic" w:eastAsia="Times New Roman" w:hAnsi="Century Gothic" w:cs="Arial"/>
          <w:color w:val="212529"/>
          <w:lang w:val="es-PE" w:eastAsia="es-PE"/>
        </w:rPr>
        <w:t>Posee una planta de energía eólica que produce 36 megavatios. Además, posee centrales hidroeléctricas que tiene 2 167 kilowatts de potencia efectiva</w:t>
      </w:r>
    </w:p>
    <w:p w:rsidR="00C321BD" w:rsidRDefault="00C321BD" w:rsidP="009268A5">
      <w:pPr>
        <w:spacing w:after="0" w:line="240" w:lineRule="auto"/>
        <w:rPr>
          <w:rFonts w:ascii="Century Gothic" w:hAnsi="Century Gothic"/>
          <w:i/>
        </w:rPr>
      </w:pPr>
      <w:r w:rsidRPr="00C321BD">
        <w:rPr>
          <w:rFonts w:ascii="Century Gothic" w:eastAsia="Times New Roman" w:hAnsi="Century Gothic" w:cs="Arial"/>
          <w:i/>
          <w:color w:val="212529"/>
          <w:lang w:val="es-PE" w:eastAsia="es-PE"/>
        </w:rPr>
        <w:t xml:space="preserve">Fuente: </w:t>
      </w:r>
      <w:r w:rsidRPr="00C321BD">
        <w:rPr>
          <w:rFonts w:ascii="Century Gothic" w:hAnsi="Century Gothic"/>
          <w:i/>
        </w:rPr>
        <w:t>https://energiminas.com/espanola-grenenergy-construye-la-primera-planta-eolica-en-cajamarca/</w:t>
      </w:r>
    </w:p>
    <w:p w:rsidR="00C321BD" w:rsidRDefault="00C321BD" w:rsidP="009268A5">
      <w:pPr>
        <w:spacing w:after="0" w:line="240" w:lineRule="auto"/>
        <w:rPr>
          <w:rFonts w:ascii="Century Gothic" w:hAnsi="Century Gothic"/>
          <w:i/>
        </w:rPr>
      </w:pPr>
      <w:r w:rsidRPr="00C321BD">
        <w:rPr>
          <w:rFonts w:ascii="Century Gothic" w:hAnsi="Century Gothic"/>
          <w:i/>
        </w:rPr>
        <w:t>https://www.osinergmin.gob.pe/newweb/uploads/Publico/OficinaComunicaciones/EventosRealizados/ForoCajamarca/2/Atencion%20de%20demanda%20Cajamarca.pdf</w:t>
      </w:r>
    </w:p>
    <w:p w:rsidR="009268A5" w:rsidRPr="00FE1DCF" w:rsidRDefault="009268A5" w:rsidP="00114F48">
      <w:pPr>
        <w:spacing w:after="0" w:line="240" w:lineRule="auto"/>
        <w:rPr>
          <w:rFonts w:ascii="Century Gothic" w:eastAsia="Times New Roman" w:hAnsi="Century Gothic" w:cs="Arial"/>
          <w:color w:val="212529"/>
          <w:lang w:val="es-PE" w:eastAsia="es-PE"/>
        </w:rPr>
      </w:pPr>
    </w:p>
    <w:p w:rsidR="009268A5" w:rsidRDefault="009268A5" w:rsidP="009268A5">
      <w:pPr>
        <w:numPr>
          <w:ilvl w:val="0"/>
          <w:numId w:val="3"/>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Minería</w:t>
      </w:r>
    </w:p>
    <w:p w:rsidR="003D6F07" w:rsidRPr="009268A5" w:rsidRDefault="003D6F07" w:rsidP="006D5966">
      <w:pPr>
        <w:numPr>
          <w:ilvl w:val="1"/>
          <w:numId w:val="3"/>
        </w:numPr>
        <w:spacing w:after="0" w:line="240" w:lineRule="auto"/>
        <w:rPr>
          <w:rFonts w:ascii="Century Gothic" w:eastAsia="Times New Roman" w:hAnsi="Century Gothic" w:cs="Arial"/>
          <w:color w:val="212529"/>
          <w:lang w:val="es-PE" w:eastAsia="es-PE"/>
        </w:rPr>
      </w:pPr>
      <w:r w:rsidRPr="009268A5">
        <w:rPr>
          <w:rFonts w:ascii="Century Gothic" w:eastAsia="Times New Roman" w:hAnsi="Century Gothic" w:cs="Arial"/>
          <w:color w:val="212529"/>
          <w:lang w:val="es-PE" w:eastAsia="es-PE"/>
        </w:rPr>
        <w:t>Cajamarca es la región que concentra el mayor monto de inversión con USD 16,209 millones (27.7% del total), con un total de 6 proyectos.</w:t>
      </w:r>
    </w:p>
    <w:p w:rsidR="003D6F07" w:rsidRDefault="003D6F07" w:rsidP="009268A5">
      <w:pPr>
        <w:spacing w:after="0" w:line="240" w:lineRule="auto"/>
        <w:rPr>
          <w:rFonts w:ascii="Century Gothic" w:hAnsi="Century Gothic"/>
          <w:i/>
        </w:rPr>
      </w:pPr>
      <w:r w:rsidRPr="003D6F07">
        <w:rPr>
          <w:rFonts w:ascii="Century Gothic" w:eastAsia="Times New Roman" w:hAnsi="Century Gothic" w:cs="Arial"/>
          <w:i/>
          <w:color w:val="212529"/>
          <w:lang w:val="es-PE" w:eastAsia="es-PE"/>
        </w:rPr>
        <w:t xml:space="preserve">Fuente: </w:t>
      </w:r>
      <w:r w:rsidRPr="003D6F07">
        <w:rPr>
          <w:rFonts w:ascii="Century Gothic" w:hAnsi="Century Gothic"/>
          <w:i/>
        </w:rPr>
        <w:t>https://www.iimp.org.pe/institucional/cajamarca-y-apurimac-concentran-mas-de-usd-27,000-millones-de-inversion-minera</w:t>
      </w:r>
    </w:p>
    <w:p w:rsidR="003D6F07" w:rsidRDefault="003D6F07" w:rsidP="009268A5">
      <w:pPr>
        <w:spacing w:after="0" w:line="240" w:lineRule="auto"/>
        <w:rPr>
          <w:rFonts w:ascii="Century Gothic" w:eastAsia="Times New Roman" w:hAnsi="Century Gothic" w:cs="Arial"/>
          <w:i/>
          <w:color w:val="212529"/>
          <w:lang w:val="es-PE" w:eastAsia="es-PE"/>
        </w:rPr>
      </w:pPr>
    </w:p>
    <w:p w:rsidR="00114F48" w:rsidRPr="003D6F07" w:rsidRDefault="00114F48" w:rsidP="009268A5">
      <w:pPr>
        <w:spacing w:after="0" w:line="240" w:lineRule="auto"/>
        <w:rPr>
          <w:rFonts w:ascii="Century Gothic" w:eastAsia="Times New Roman" w:hAnsi="Century Gothic" w:cs="Arial"/>
          <w:i/>
          <w:color w:val="212529"/>
          <w:lang w:val="es-PE" w:eastAsia="es-PE"/>
        </w:rPr>
      </w:pPr>
    </w:p>
    <w:p w:rsidR="00C502EE" w:rsidRDefault="00C502EE" w:rsidP="009268A5">
      <w:pPr>
        <w:numPr>
          <w:ilvl w:val="0"/>
          <w:numId w:val="3"/>
        </w:num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t xml:space="preserve">Agricultura </w:t>
      </w:r>
    </w:p>
    <w:p w:rsidR="00A938B9" w:rsidRDefault="00EA06DB" w:rsidP="00A938B9">
      <w:pPr>
        <w:numPr>
          <w:ilvl w:val="1"/>
          <w:numId w:val="3"/>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 xml:space="preserve">Existe un total de 618 210 hectáreas de superficie agrícola donde la producción principal es la papa y caña de </w:t>
      </w:r>
      <w:r w:rsidR="00873ED6">
        <w:rPr>
          <w:rFonts w:ascii="Century Gothic" w:eastAsia="Times New Roman" w:hAnsi="Century Gothic" w:cs="Arial"/>
          <w:color w:val="212529"/>
          <w:lang w:val="es-PE" w:eastAsia="es-PE"/>
        </w:rPr>
        <w:t>azúcar</w:t>
      </w:r>
      <w:r>
        <w:rPr>
          <w:rFonts w:ascii="Century Gothic" w:eastAsia="Times New Roman" w:hAnsi="Century Gothic" w:cs="Arial"/>
          <w:color w:val="212529"/>
          <w:lang w:val="es-PE" w:eastAsia="es-PE"/>
        </w:rPr>
        <w:t>.</w:t>
      </w:r>
    </w:p>
    <w:p w:rsidR="00EA06DB" w:rsidRPr="00EA06DB" w:rsidRDefault="00EA06DB" w:rsidP="00EA06DB">
      <w:pPr>
        <w:spacing w:after="0" w:line="240" w:lineRule="auto"/>
        <w:rPr>
          <w:rFonts w:ascii="Century Gothic" w:eastAsia="Times New Roman" w:hAnsi="Century Gothic" w:cs="Arial"/>
          <w:i/>
          <w:color w:val="212529"/>
          <w:lang w:val="es-PE" w:eastAsia="es-PE"/>
        </w:rPr>
      </w:pPr>
      <w:r w:rsidRPr="00EA06DB">
        <w:rPr>
          <w:rFonts w:ascii="Century Gothic" w:eastAsia="Times New Roman" w:hAnsi="Century Gothic" w:cs="Arial"/>
          <w:i/>
          <w:color w:val="212529"/>
          <w:lang w:val="es-PE" w:eastAsia="es-PE"/>
        </w:rPr>
        <w:lastRenderedPageBreak/>
        <w:t>Fuente:</w:t>
      </w:r>
      <w:r w:rsidRPr="00EA06DB">
        <w:rPr>
          <w:rFonts w:ascii="Century Gothic" w:hAnsi="Century Gothic"/>
          <w:i/>
        </w:rPr>
        <w:t>https://www.minagri.gob.pe/portal/download/pdf/conocenos/transparencia/planes_estrategicos_regionales/cajamarca.pdf</w:t>
      </w:r>
    </w:p>
    <w:p w:rsidR="00BB226B" w:rsidRPr="00FE1DCF" w:rsidRDefault="00BB226B" w:rsidP="00BB226B">
      <w:pPr>
        <w:spacing w:after="0" w:line="240" w:lineRule="auto"/>
        <w:ind w:left="720"/>
        <w:rPr>
          <w:rFonts w:ascii="Century Gothic" w:eastAsia="Times New Roman" w:hAnsi="Century Gothic" w:cs="Arial"/>
          <w:color w:val="212529"/>
          <w:lang w:val="es-PE" w:eastAsia="es-PE"/>
        </w:rPr>
      </w:pPr>
    </w:p>
    <w:p w:rsidR="00172A5B" w:rsidRDefault="00172A5B" w:rsidP="009268A5">
      <w:pPr>
        <w:numPr>
          <w:ilvl w:val="0"/>
          <w:numId w:val="3"/>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Transporte</w:t>
      </w:r>
    </w:p>
    <w:p w:rsidR="00172A5B" w:rsidRDefault="00172A5B" w:rsidP="009268A5">
      <w:pPr>
        <w:numPr>
          <w:ilvl w:val="1"/>
          <w:numId w:val="3"/>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Cuenta con una red vial de 14 667,6 km</w:t>
      </w:r>
    </w:p>
    <w:p w:rsidR="00172A5B" w:rsidRDefault="00172A5B" w:rsidP="009268A5">
      <w:pPr>
        <w:numPr>
          <w:ilvl w:val="1"/>
          <w:numId w:val="3"/>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El 83.8 de la red vial se encuentra pavimentada.</w:t>
      </w:r>
    </w:p>
    <w:p w:rsidR="00172A5B" w:rsidRDefault="00172A5B" w:rsidP="009268A5">
      <w:pPr>
        <w:numPr>
          <w:ilvl w:val="1"/>
          <w:numId w:val="3"/>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 xml:space="preserve">Posee dos aeropuertos </w:t>
      </w:r>
      <w:proofErr w:type="spellStart"/>
      <w:r>
        <w:rPr>
          <w:rFonts w:ascii="Century Gothic" w:eastAsia="Times New Roman" w:hAnsi="Century Gothic" w:cs="Arial"/>
          <w:color w:val="212529"/>
          <w:lang w:val="es-PE" w:eastAsia="es-PE"/>
        </w:rPr>
        <w:t>Jaen</w:t>
      </w:r>
      <w:proofErr w:type="spellEnd"/>
      <w:r>
        <w:rPr>
          <w:rFonts w:ascii="Century Gothic" w:eastAsia="Times New Roman" w:hAnsi="Century Gothic" w:cs="Arial"/>
          <w:color w:val="212529"/>
          <w:lang w:val="es-PE" w:eastAsia="es-PE"/>
        </w:rPr>
        <w:t xml:space="preserve"> y Gral. FAP Armando </w:t>
      </w:r>
      <w:proofErr w:type="spellStart"/>
      <w:r>
        <w:rPr>
          <w:rFonts w:ascii="Century Gothic" w:eastAsia="Times New Roman" w:hAnsi="Century Gothic" w:cs="Arial"/>
          <w:color w:val="212529"/>
          <w:lang w:val="es-PE" w:eastAsia="es-PE"/>
        </w:rPr>
        <w:t>Revoredo</w:t>
      </w:r>
      <w:proofErr w:type="spellEnd"/>
      <w:r>
        <w:rPr>
          <w:rFonts w:ascii="Century Gothic" w:eastAsia="Times New Roman" w:hAnsi="Century Gothic" w:cs="Arial"/>
          <w:color w:val="212529"/>
          <w:lang w:val="es-PE" w:eastAsia="es-PE"/>
        </w:rPr>
        <w:t xml:space="preserve"> Iglesias</w:t>
      </w:r>
    </w:p>
    <w:p w:rsidR="00927812" w:rsidRDefault="00927812" w:rsidP="009268A5">
      <w:pPr>
        <w:numPr>
          <w:ilvl w:val="1"/>
          <w:numId w:val="3"/>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No posee transporte público masivos como BTU</w:t>
      </w:r>
    </w:p>
    <w:p w:rsidR="00172A5B" w:rsidRPr="009268A5" w:rsidRDefault="00172A5B" w:rsidP="009268A5">
      <w:pPr>
        <w:spacing w:after="0" w:line="240" w:lineRule="auto"/>
        <w:rPr>
          <w:rFonts w:ascii="Century Gothic" w:hAnsi="Century Gothic"/>
          <w:i/>
        </w:rPr>
      </w:pPr>
      <w:r w:rsidRPr="009268A5">
        <w:rPr>
          <w:rFonts w:ascii="Century Gothic" w:hAnsi="Century Gothic"/>
          <w:i/>
        </w:rPr>
        <w:t xml:space="preserve">Fuente: </w:t>
      </w:r>
      <w:r w:rsidR="009268A5" w:rsidRPr="009268A5">
        <w:rPr>
          <w:rFonts w:ascii="Century Gothic" w:hAnsi="Century Gothic"/>
          <w:i/>
        </w:rPr>
        <w:t>https://www.bcrp.gob.pe/docs/Sucursales/Trujillo/cajamarca-caracterizacion.pdf</w:t>
      </w:r>
    </w:p>
    <w:p w:rsidR="009268A5" w:rsidRPr="00172A5B" w:rsidRDefault="009268A5" w:rsidP="009268A5">
      <w:pPr>
        <w:spacing w:after="0" w:line="240" w:lineRule="auto"/>
        <w:rPr>
          <w:rFonts w:ascii="Century Gothic" w:eastAsia="Times New Roman" w:hAnsi="Century Gothic" w:cs="Arial"/>
          <w:i/>
          <w:color w:val="212529"/>
          <w:lang w:val="es-PE" w:eastAsia="es-PE"/>
        </w:rPr>
      </w:pPr>
    </w:p>
    <w:p w:rsidR="00C502EE" w:rsidRDefault="00C502EE" w:rsidP="009268A5">
      <w:pPr>
        <w:numPr>
          <w:ilvl w:val="0"/>
          <w:numId w:val="3"/>
        </w:num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t>Agua y sanidad (¿Existen plantas de tratamiento de agua? ¿Existen plantas de tratamiento de aguas residuales?)</w:t>
      </w:r>
    </w:p>
    <w:p w:rsidR="00595F0F" w:rsidRDefault="00595F0F" w:rsidP="00595F0F">
      <w:pPr>
        <w:numPr>
          <w:ilvl w:val="1"/>
          <w:numId w:val="3"/>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Posee una planta de tratamiento de agua potable</w:t>
      </w:r>
    </w:p>
    <w:p w:rsidR="00595F0F" w:rsidRDefault="00595F0F" w:rsidP="00595F0F">
      <w:pPr>
        <w:spacing w:after="0" w:line="240" w:lineRule="auto"/>
        <w:rPr>
          <w:rFonts w:ascii="Century Gothic" w:hAnsi="Century Gothic"/>
          <w:i/>
        </w:rPr>
      </w:pPr>
      <w:r w:rsidRPr="00595F0F">
        <w:rPr>
          <w:rFonts w:ascii="Century Gothic" w:hAnsi="Century Gothic"/>
          <w:i/>
        </w:rPr>
        <w:t>Fuente: https://andina.pe/agencia/noticia-cajamarca-70-avance-registran-obras-planta-milagro-731749.aspx</w:t>
      </w:r>
    </w:p>
    <w:p w:rsidR="00595F0F" w:rsidRDefault="00595F0F" w:rsidP="00595F0F">
      <w:pPr>
        <w:spacing w:after="0" w:line="240" w:lineRule="auto"/>
        <w:rPr>
          <w:rFonts w:ascii="Century Gothic" w:hAnsi="Century Gothic"/>
          <w:i/>
        </w:rPr>
      </w:pPr>
      <w:r w:rsidRPr="00595F0F">
        <w:rPr>
          <w:rFonts w:ascii="Century Gothic" w:hAnsi="Century Gothic"/>
          <w:i/>
        </w:rPr>
        <w:t>https://peruconstruye.net/2018/11/16/cajamarca-invertiran-s-11-millones-en-planta-de-tratamiento-de-agua-potable/</w:t>
      </w:r>
    </w:p>
    <w:p w:rsidR="00C502EE" w:rsidRPr="00FE1DCF" w:rsidRDefault="00C502EE" w:rsidP="00595F0F">
      <w:pPr>
        <w:spacing w:after="0" w:line="240" w:lineRule="auto"/>
        <w:rPr>
          <w:rFonts w:ascii="Century Gothic" w:eastAsia="Times New Roman" w:hAnsi="Century Gothic" w:cs="Arial"/>
          <w:color w:val="212529"/>
          <w:lang w:val="es-PE" w:eastAsia="es-PE"/>
        </w:rPr>
      </w:pPr>
    </w:p>
    <w:p w:rsidR="00C502EE" w:rsidRPr="00FE1DCF" w:rsidRDefault="00C502EE" w:rsidP="009268A5">
      <w:p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b/>
          <w:bCs/>
          <w:color w:val="212529"/>
          <w:lang w:val="es-PE" w:eastAsia="es-PE"/>
        </w:rPr>
        <w:t>Stocks y flujos</w:t>
      </w:r>
    </w:p>
    <w:p w:rsidR="00C502EE" w:rsidRPr="00FE1DCF" w:rsidRDefault="00C502EE" w:rsidP="009268A5">
      <w:p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t>Trata de conseguir cifras (números) de los siguientes stocks y flujos:</w:t>
      </w:r>
    </w:p>
    <w:p w:rsidR="00C502EE" w:rsidRDefault="00C502EE" w:rsidP="009268A5">
      <w:pPr>
        <w:numPr>
          <w:ilvl w:val="0"/>
          <w:numId w:val="4"/>
        </w:num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t>Consumo de comida</w:t>
      </w:r>
    </w:p>
    <w:p w:rsidR="00EA06DB" w:rsidRDefault="00114F48" w:rsidP="00EA06DB">
      <w:pPr>
        <w:numPr>
          <w:ilvl w:val="1"/>
          <w:numId w:val="4"/>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Consumo de comida de arroz de 53.5 kg de arroz por persona anual</w:t>
      </w:r>
    </w:p>
    <w:p w:rsidR="00114F48" w:rsidRDefault="00114F48" w:rsidP="00114F48">
      <w:pPr>
        <w:spacing w:after="0" w:line="240" w:lineRule="auto"/>
        <w:rPr>
          <w:rFonts w:ascii="Century Gothic" w:hAnsi="Century Gothic"/>
          <w:i/>
        </w:rPr>
      </w:pPr>
      <w:r w:rsidRPr="00114F48">
        <w:rPr>
          <w:rFonts w:ascii="Century Gothic" w:hAnsi="Century Gothic"/>
          <w:i/>
        </w:rPr>
        <w:t>Fuente:https://www.inei.gob.pe/media/MenuRecursivo/publicaciones_digitales/Est/Lib1028/cap01.pdf</w:t>
      </w:r>
    </w:p>
    <w:p w:rsidR="00114F48" w:rsidRPr="00114F48" w:rsidRDefault="00114F48" w:rsidP="00114F48">
      <w:pPr>
        <w:spacing w:after="0" w:line="240" w:lineRule="auto"/>
        <w:rPr>
          <w:rFonts w:ascii="Century Gothic" w:hAnsi="Century Gothic"/>
          <w:i/>
        </w:rPr>
      </w:pPr>
    </w:p>
    <w:p w:rsidR="00C502EE" w:rsidRDefault="00C502EE" w:rsidP="009268A5">
      <w:pPr>
        <w:numPr>
          <w:ilvl w:val="0"/>
          <w:numId w:val="4"/>
        </w:num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t>Producción de comida y manufactura</w:t>
      </w:r>
    </w:p>
    <w:p w:rsidR="00114F48" w:rsidRDefault="00114F48" w:rsidP="00114F48">
      <w:pPr>
        <w:numPr>
          <w:ilvl w:val="1"/>
          <w:numId w:val="4"/>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Rendimiento de los principales productos como papa (11 085 kg/ha) y caña de azúcar (22 000)</w:t>
      </w:r>
    </w:p>
    <w:p w:rsidR="00114F48" w:rsidRPr="00114F48" w:rsidRDefault="00114F48" w:rsidP="00114F48">
      <w:pPr>
        <w:spacing w:after="0" w:line="240" w:lineRule="auto"/>
        <w:rPr>
          <w:rFonts w:ascii="Century Gothic" w:hAnsi="Century Gothic"/>
          <w:i/>
        </w:rPr>
      </w:pPr>
      <w:r w:rsidRPr="00114F48">
        <w:rPr>
          <w:rFonts w:ascii="Century Gothic" w:hAnsi="Century Gothic"/>
          <w:i/>
        </w:rPr>
        <w:t>Fuente:</w:t>
      </w:r>
      <w:hyperlink r:id="rId6" w:history="1">
        <w:r w:rsidRPr="00114F48">
          <w:rPr>
            <w:rFonts w:ascii="Century Gothic" w:hAnsi="Century Gothic"/>
            <w:i/>
          </w:rPr>
          <w:t>https://www.minagri.gob.pe/portal/download/pdf/conocenos/transparencia/planes_estrategicos_regionales/cajamarca.pdf</w:t>
        </w:r>
      </w:hyperlink>
    </w:p>
    <w:p w:rsidR="00114F48" w:rsidRPr="00114F48" w:rsidRDefault="00114F48" w:rsidP="00114F48">
      <w:pPr>
        <w:spacing w:after="0" w:line="240" w:lineRule="auto"/>
        <w:rPr>
          <w:rFonts w:ascii="Century Gothic" w:eastAsia="Times New Roman" w:hAnsi="Century Gothic" w:cs="Arial"/>
          <w:color w:val="212529"/>
          <w:lang w:val="es-PE" w:eastAsia="es-PE"/>
        </w:rPr>
      </w:pPr>
    </w:p>
    <w:p w:rsidR="00C502EE" w:rsidRDefault="00C502EE" w:rsidP="009268A5">
      <w:pPr>
        <w:numPr>
          <w:ilvl w:val="0"/>
          <w:numId w:val="4"/>
        </w:num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t>Consumo energético</w:t>
      </w:r>
    </w:p>
    <w:p w:rsidR="00114F48" w:rsidRPr="00FE1DCF" w:rsidRDefault="00072D67" w:rsidP="00114F48">
      <w:pPr>
        <w:numPr>
          <w:ilvl w:val="1"/>
          <w:numId w:val="4"/>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La producción de carbón en el año 2017 fue de 48 963 10</w:t>
      </w:r>
      <w:r>
        <w:rPr>
          <w:rFonts w:ascii="Century Gothic" w:eastAsia="Times New Roman" w:hAnsi="Century Gothic" w:cs="Arial"/>
          <w:color w:val="212529"/>
          <w:vertAlign w:val="superscript"/>
          <w:lang w:val="es-PE" w:eastAsia="es-PE"/>
        </w:rPr>
        <w:t>3</w:t>
      </w:r>
      <w:r>
        <w:rPr>
          <w:rFonts w:ascii="Century Gothic" w:eastAsia="Times New Roman" w:hAnsi="Century Gothic" w:cs="Arial"/>
          <w:color w:val="212529"/>
          <w:lang w:val="es-PE" w:eastAsia="es-PE"/>
        </w:rPr>
        <w:t xml:space="preserve"> kg y en el 2018, 6 831 10</w:t>
      </w:r>
      <w:r>
        <w:rPr>
          <w:rFonts w:ascii="Century Gothic" w:eastAsia="Times New Roman" w:hAnsi="Century Gothic" w:cs="Arial"/>
          <w:color w:val="212529"/>
          <w:vertAlign w:val="superscript"/>
          <w:lang w:val="es-PE" w:eastAsia="es-PE"/>
        </w:rPr>
        <w:t>3</w:t>
      </w:r>
      <w:r>
        <w:rPr>
          <w:rFonts w:ascii="Century Gothic" w:eastAsia="Times New Roman" w:hAnsi="Century Gothic" w:cs="Arial"/>
          <w:color w:val="212529"/>
          <w:lang w:val="es-PE" w:eastAsia="es-PE"/>
        </w:rPr>
        <w:t xml:space="preserve"> kg.</w:t>
      </w:r>
    </w:p>
    <w:p w:rsidR="00C502EE" w:rsidRDefault="00C502EE" w:rsidP="009268A5">
      <w:pPr>
        <w:numPr>
          <w:ilvl w:val="0"/>
          <w:numId w:val="4"/>
        </w:num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t>Consumo de bienes y servicios de hogares</w:t>
      </w:r>
    </w:p>
    <w:p w:rsidR="00114F48" w:rsidRDefault="00072D67" w:rsidP="00114F48">
      <w:pPr>
        <w:numPr>
          <w:ilvl w:val="1"/>
          <w:numId w:val="4"/>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Información en el enlace</w:t>
      </w:r>
    </w:p>
    <w:p w:rsidR="00072D67" w:rsidRDefault="00072D67" w:rsidP="00072D67">
      <w:pPr>
        <w:spacing w:after="0" w:line="240" w:lineRule="auto"/>
        <w:rPr>
          <w:rFonts w:ascii="Century Gothic" w:hAnsi="Century Gothic"/>
          <w:i/>
        </w:rPr>
      </w:pPr>
      <w:r w:rsidRPr="00072D67">
        <w:rPr>
          <w:rFonts w:ascii="Century Gothic" w:hAnsi="Century Gothic"/>
          <w:i/>
        </w:rPr>
        <w:t>Fuente:https://www.inei.gob.pe/media/MenuRecursivo/publicaciones_digitales/Est/Lib1433/pdf/cap001.pdf</w:t>
      </w:r>
    </w:p>
    <w:p w:rsidR="00072D67" w:rsidRPr="00072D67" w:rsidRDefault="00072D67" w:rsidP="00072D67">
      <w:pPr>
        <w:spacing w:after="0" w:line="240" w:lineRule="auto"/>
        <w:rPr>
          <w:rFonts w:ascii="Century Gothic" w:hAnsi="Century Gothic"/>
          <w:i/>
        </w:rPr>
      </w:pPr>
    </w:p>
    <w:p w:rsidR="00C502EE" w:rsidRDefault="00C502EE" w:rsidP="009268A5">
      <w:pPr>
        <w:numPr>
          <w:ilvl w:val="0"/>
          <w:numId w:val="4"/>
        </w:num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t>Consumo de combustibles fósiles</w:t>
      </w:r>
    </w:p>
    <w:p w:rsidR="00072D67" w:rsidRDefault="00072D67" w:rsidP="00072D67">
      <w:pPr>
        <w:numPr>
          <w:ilvl w:val="1"/>
          <w:numId w:val="4"/>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La producción de carbón en el año 2017 fue de 48 963 10</w:t>
      </w:r>
      <w:r>
        <w:rPr>
          <w:rFonts w:ascii="Century Gothic" w:eastAsia="Times New Roman" w:hAnsi="Century Gothic" w:cs="Arial"/>
          <w:color w:val="212529"/>
          <w:vertAlign w:val="superscript"/>
          <w:lang w:val="es-PE" w:eastAsia="es-PE"/>
        </w:rPr>
        <w:t>3</w:t>
      </w:r>
      <w:r>
        <w:rPr>
          <w:rFonts w:ascii="Century Gothic" w:eastAsia="Times New Roman" w:hAnsi="Century Gothic" w:cs="Arial"/>
          <w:color w:val="212529"/>
          <w:lang w:val="es-PE" w:eastAsia="es-PE"/>
        </w:rPr>
        <w:t xml:space="preserve"> kg y en el 2018, 6 831 10</w:t>
      </w:r>
      <w:r>
        <w:rPr>
          <w:rFonts w:ascii="Century Gothic" w:eastAsia="Times New Roman" w:hAnsi="Century Gothic" w:cs="Arial"/>
          <w:color w:val="212529"/>
          <w:vertAlign w:val="superscript"/>
          <w:lang w:val="es-PE" w:eastAsia="es-PE"/>
        </w:rPr>
        <w:t>3</w:t>
      </w:r>
      <w:r>
        <w:rPr>
          <w:rFonts w:ascii="Century Gothic" w:eastAsia="Times New Roman" w:hAnsi="Century Gothic" w:cs="Arial"/>
          <w:color w:val="212529"/>
          <w:lang w:val="es-PE" w:eastAsia="es-PE"/>
        </w:rPr>
        <w:t xml:space="preserve"> kg.</w:t>
      </w:r>
    </w:p>
    <w:p w:rsidR="00072D67" w:rsidRPr="00FE1DCF" w:rsidRDefault="00072D67" w:rsidP="00072D67">
      <w:pPr>
        <w:spacing w:after="0" w:line="240" w:lineRule="auto"/>
        <w:ind w:left="1440"/>
        <w:rPr>
          <w:rFonts w:ascii="Century Gothic" w:eastAsia="Times New Roman" w:hAnsi="Century Gothic" w:cs="Arial"/>
          <w:color w:val="212529"/>
          <w:lang w:val="es-PE" w:eastAsia="es-PE"/>
        </w:rPr>
      </w:pPr>
    </w:p>
    <w:p w:rsidR="00C502EE" w:rsidRDefault="00C502EE" w:rsidP="009268A5">
      <w:pPr>
        <w:numPr>
          <w:ilvl w:val="0"/>
          <w:numId w:val="4"/>
        </w:num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t>CO2 y otras emisiones</w:t>
      </w:r>
    </w:p>
    <w:p w:rsidR="00072D67" w:rsidRDefault="00072D67" w:rsidP="00072D67">
      <w:pPr>
        <w:numPr>
          <w:ilvl w:val="1"/>
          <w:numId w:val="4"/>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Información en el enlace</w:t>
      </w:r>
    </w:p>
    <w:p w:rsidR="00072D67" w:rsidRDefault="00072D67" w:rsidP="00072D67">
      <w:pPr>
        <w:spacing w:after="0" w:line="240" w:lineRule="auto"/>
        <w:rPr>
          <w:rFonts w:ascii="Century Gothic" w:hAnsi="Century Gothic"/>
          <w:i/>
        </w:rPr>
      </w:pPr>
      <w:r w:rsidRPr="00072D67">
        <w:rPr>
          <w:rFonts w:ascii="Century Gothic" w:hAnsi="Century Gothic"/>
          <w:i/>
        </w:rPr>
        <w:t>Fuente:https://www.inei.gob.pe/media/MenuRecursivo/publicaciones_digitales/Est/Lib1433/pdf/cap001.pdf</w:t>
      </w:r>
    </w:p>
    <w:p w:rsidR="00072D67" w:rsidRDefault="00072D67" w:rsidP="00072D67">
      <w:pPr>
        <w:spacing w:after="0" w:line="240" w:lineRule="auto"/>
        <w:rPr>
          <w:rFonts w:ascii="Century Gothic" w:hAnsi="Century Gothic"/>
          <w:i/>
        </w:rPr>
      </w:pPr>
    </w:p>
    <w:p w:rsidR="00C502EE" w:rsidRDefault="00C502EE" w:rsidP="009268A5">
      <w:pPr>
        <w:numPr>
          <w:ilvl w:val="0"/>
          <w:numId w:val="4"/>
        </w:num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lastRenderedPageBreak/>
        <w:t>Consumo de agua</w:t>
      </w:r>
    </w:p>
    <w:p w:rsidR="00072D67" w:rsidRDefault="00072D67" w:rsidP="00072D67">
      <w:pPr>
        <w:numPr>
          <w:ilvl w:val="1"/>
          <w:numId w:val="4"/>
        </w:numPr>
        <w:spacing w:after="0" w:line="240" w:lineRule="auto"/>
        <w:rPr>
          <w:rFonts w:ascii="Century Gothic" w:eastAsia="Times New Roman" w:hAnsi="Century Gothic" w:cs="Arial"/>
          <w:color w:val="212529"/>
          <w:lang w:val="es-PE" w:eastAsia="es-PE"/>
        </w:rPr>
      </w:pPr>
      <w:r>
        <w:rPr>
          <w:rFonts w:ascii="Century Gothic" w:eastAsia="Times New Roman" w:hAnsi="Century Gothic" w:cs="Arial"/>
          <w:color w:val="212529"/>
          <w:lang w:val="es-PE" w:eastAsia="es-PE"/>
        </w:rPr>
        <w:t>Información en el enlace</w:t>
      </w:r>
    </w:p>
    <w:p w:rsidR="00072D67" w:rsidRDefault="00072D67" w:rsidP="00072D67">
      <w:pPr>
        <w:spacing w:after="0" w:line="240" w:lineRule="auto"/>
        <w:rPr>
          <w:rFonts w:ascii="Century Gothic" w:hAnsi="Century Gothic"/>
          <w:i/>
        </w:rPr>
      </w:pPr>
      <w:r w:rsidRPr="00072D67">
        <w:rPr>
          <w:rFonts w:ascii="Century Gothic" w:hAnsi="Century Gothic"/>
          <w:i/>
        </w:rPr>
        <w:t>Fuente:https://www.inei.gob.pe/media/MenuRecursivo/publicaciones_digitales/Est/Lib1433/pdf/cap001.pdf</w:t>
      </w:r>
    </w:p>
    <w:p w:rsidR="00C502EE" w:rsidRPr="00FE1DCF" w:rsidRDefault="00C502EE" w:rsidP="00072D67">
      <w:pPr>
        <w:spacing w:after="0" w:line="240" w:lineRule="auto"/>
        <w:rPr>
          <w:rFonts w:ascii="Century Gothic" w:eastAsia="Times New Roman" w:hAnsi="Century Gothic" w:cs="Arial"/>
          <w:color w:val="212529"/>
          <w:lang w:val="es-PE" w:eastAsia="es-PE"/>
        </w:rPr>
      </w:pPr>
    </w:p>
    <w:p w:rsidR="00C502EE" w:rsidRPr="00FE1DCF" w:rsidRDefault="00C502EE" w:rsidP="009268A5">
      <w:p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b/>
          <w:bCs/>
          <w:color w:val="212529"/>
          <w:lang w:val="es-PE" w:eastAsia="es-PE"/>
        </w:rPr>
        <w:t>Actores</w:t>
      </w:r>
    </w:p>
    <w:p w:rsidR="00C502EE" w:rsidRPr="00FE1DCF" w:rsidRDefault="00C502EE" w:rsidP="009268A5">
      <w:pPr>
        <w:spacing w:after="0" w:line="240" w:lineRule="auto"/>
        <w:rPr>
          <w:rFonts w:ascii="Century Gothic" w:eastAsia="Times New Roman" w:hAnsi="Century Gothic" w:cs="Arial"/>
          <w:color w:val="212529"/>
          <w:lang w:val="es-PE" w:eastAsia="es-PE"/>
        </w:rPr>
      </w:pPr>
      <w:r w:rsidRPr="00FE1DCF">
        <w:rPr>
          <w:rFonts w:ascii="Century Gothic" w:eastAsia="Times New Roman" w:hAnsi="Century Gothic" w:cs="Arial"/>
          <w:color w:val="212529"/>
          <w:lang w:val="es-PE" w:eastAsia="es-PE"/>
        </w:rPr>
        <w:t>¿Cuáles son las organizaciones fundamentales en tu ciudad? Estos pueden incluir compañías que tienen un rol importante con los recursos y flujos de la ciudad, pero también pueden incluir instituciones académicas que investigan estos temas. También pueden ser departamentos municipales que gobiernan sobre estos temas, compañías de utilidad, grupos de investigación u organizaciones basadas en el activismo. Puedes crear una lista dentro de las secciones anteriores o puedes tener una sección aparte donde hablas sobre estos actores principales.</w:t>
      </w:r>
    </w:p>
    <w:p w:rsidR="002E308C" w:rsidRDefault="003F4EBA"/>
    <w:sectPr w:rsidR="002E30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776"/>
    <w:multiLevelType w:val="multilevel"/>
    <w:tmpl w:val="90465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05129"/>
    <w:multiLevelType w:val="multilevel"/>
    <w:tmpl w:val="B202A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B0E1C"/>
    <w:multiLevelType w:val="multilevel"/>
    <w:tmpl w:val="06A4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F53E4"/>
    <w:multiLevelType w:val="multilevel"/>
    <w:tmpl w:val="46F8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24459D"/>
    <w:multiLevelType w:val="multilevel"/>
    <w:tmpl w:val="A89C1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2EE"/>
    <w:rsid w:val="00041B74"/>
    <w:rsid w:val="00072D67"/>
    <w:rsid w:val="000C0AF3"/>
    <w:rsid w:val="000C3251"/>
    <w:rsid w:val="000F7FD2"/>
    <w:rsid w:val="00114F48"/>
    <w:rsid w:val="00151054"/>
    <w:rsid w:val="00171DEC"/>
    <w:rsid w:val="00172A5B"/>
    <w:rsid w:val="0017584E"/>
    <w:rsid w:val="001C3362"/>
    <w:rsid w:val="002265A6"/>
    <w:rsid w:val="00263044"/>
    <w:rsid w:val="002A6506"/>
    <w:rsid w:val="00337C6B"/>
    <w:rsid w:val="00352278"/>
    <w:rsid w:val="00357194"/>
    <w:rsid w:val="00397656"/>
    <w:rsid w:val="003B5502"/>
    <w:rsid w:val="003D6205"/>
    <w:rsid w:val="003D6F07"/>
    <w:rsid w:val="003E690D"/>
    <w:rsid w:val="003F4EBA"/>
    <w:rsid w:val="00412696"/>
    <w:rsid w:val="00477427"/>
    <w:rsid w:val="004F228B"/>
    <w:rsid w:val="00504E54"/>
    <w:rsid w:val="00544B5F"/>
    <w:rsid w:val="0055598A"/>
    <w:rsid w:val="005858B0"/>
    <w:rsid w:val="00595F0F"/>
    <w:rsid w:val="005A7492"/>
    <w:rsid w:val="00621599"/>
    <w:rsid w:val="0063214B"/>
    <w:rsid w:val="00653E19"/>
    <w:rsid w:val="00657B06"/>
    <w:rsid w:val="00670F33"/>
    <w:rsid w:val="00693AD0"/>
    <w:rsid w:val="006E4DD7"/>
    <w:rsid w:val="0070754A"/>
    <w:rsid w:val="00713173"/>
    <w:rsid w:val="00725841"/>
    <w:rsid w:val="00765EED"/>
    <w:rsid w:val="00767F01"/>
    <w:rsid w:val="0081716D"/>
    <w:rsid w:val="00873ED6"/>
    <w:rsid w:val="008B15FF"/>
    <w:rsid w:val="008D52E2"/>
    <w:rsid w:val="00910F89"/>
    <w:rsid w:val="00916FAD"/>
    <w:rsid w:val="009268A5"/>
    <w:rsid w:val="00927812"/>
    <w:rsid w:val="00953DA4"/>
    <w:rsid w:val="00986BDD"/>
    <w:rsid w:val="009910E5"/>
    <w:rsid w:val="00A05FC2"/>
    <w:rsid w:val="00A1372F"/>
    <w:rsid w:val="00A254D6"/>
    <w:rsid w:val="00A72D8B"/>
    <w:rsid w:val="00A8714F"/>
    <w:rsid w:val="00A938B9"/>
    <w:rsid w:val="00AA2F8D"/>
    <w:rsid w:val="00AA41D2"/>
    <w:rsid w:val="00AB358E"/>
    <w:rsid w:val="00B1070B"/>
    <w:rsid w:val="00B2071E"/>
    <w:rsid w:val="00B35769"/>
    <w:rsid w:val="00BA5C7A"/>
    <w:rsid w:val="00BB226B"/>
    <w:rsid w:val="00BD714D"/>
    <w:rsid w:val="00BE4FED"/>
    <w:rsid w:val="00C00BEB"/>
    <w:rsid w:val="00C31781"/>
    <w:rsid w:val="00C321BD"/>
    <w:rsid w:val="00C502EE"/>
    <w:rsid w:val="00C90494"/>
    <w:rsid w:val="00CB07A3"/>
    <w:rsid w:val="00CB5637"/>
    <w:rsid w:val="00CC3877"/>
    <w:rsid w:val="00CE2A01"/>
    <w:rsid w:val="00D53852"/>
    <w:rsid w:val="00D54F27"/>
    <w:rsid w:val="00D65338"/>
    <w:rsid w:val="00D82D3B"/>
    <w:rsid w:val="00DA600E"/>
    <w:rsid w:val="00DA6215"/>
    <w:rsid w:val="00DE7DF4"/>
    <w:rsid w:val="00DF67A0"/>
    <w:rsid w:val="00E0342D"/>
    <w:rsid w:val="00E46BCE"/>
    <w:rsid w:val="00E51BFC"/>
    <w:rsid w:val="00EA06DB"/>
    <w:rsid w:val="00EA5433"/>
    <w:rsid w:val="00EB54BB"/>
    <w:rsid w:val="00ED32FE"/>
    <w:rsid w:val="00EE1103"/>
    <w:rsid w:val="00F21E93"/>
    <w:rsid w:val="00F35BEE"/>
    <w:rsid w:val="00FB0C1F"/>
    <w:rsid w:val="00FF7A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4CA5"/>
  <w15:chartTrackingRefBased/>
  <w15:docId w15:val="{C357AAED-1E2B-4EEE-8A30-2093AE22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2E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7A0"/>
    <w:rPr>
      <w:color w:val="0000FF"/>
      <w:u w:val="single"/>
    </w:rPr>
  </w:style>
  <w:style w:type="character" w:styleId="Textoennegrita">
    <w:name w:val="Strong"/>
    <w:basedOn w:val="Fuentedeprrafopredeter"/>
    <w:uiPriority w:val="22"/>
    <w:qFormat/>
    <w:rsid w:val="003D6F07"/>
    <w:rPr>
      <w:b/>
      <w:bCs/>
    </w:rPr>
  </w:style>
  <w:style w:type="character" w:styleId="Hipervnculovisitado">
    <w:name w:val="FollowedHyperlink"/>
    <w:basedOn w:val="Fuentedeprrafopredeter"/>
    <w:uiPriority w:val="99"/>
    <w:semiHidden/>
    <w:unhideWhenUsed/>
    <w:rsid w:val="00114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agri.gob.pe/portal/download/pdf/conocenos/transparencia/planes_estrategicos_regionales/cajamarca.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4</Pages>
  <Words>973</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93</cp:revision>
  <dcterms:created xsi:type="dcterms:W3CDTF">2020-08-16T14:56:00Z</dcterms:created>
  <dcterms:modified xsi:type="dcterms:W3CDTF">2020-08-24T04:46:00Z</dcterms:modified>
</cp:coreProperties>
</file>