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1CC6B" w14:textId="6C02AF0F" w:rsidR="00AA189C" w:rsidRPr="00AA189C" w:rsidRDefault="00AA189C" w:rsidP="00AA189C">
      <w:pPr>
        <w:jc w:val="both"/>
        <w:rPr>
          <w:rFonts w:ascii="Arial" w:hAnsi="Arial" w:cs="Arial"/>
          <w:b/>
          <w:bCs/>
          <w:sz w:val="36"/>
          <w:szCs w:val="32"/>
        </w:rPr>
      </w:pPr>
      <w:r w:rsidRPr="00AA189C">
        <w:rPr>
          <w:rFonts w:ascii="Arial" w:hAnsi="Arial" w:cs="Arial"/>
          <w:b/>
          <w:bCs/>
          <w:sz w:val="36"/>
          <w:szCs w:val="32"/>
        </w:rPr>
        <w:t>Mikkelin rakennusranta</w:t>
      </w:r>
    </w:p>
    <w:p w14:paraId="7A0DECAD" w14:textId="77777777" w:rsidR="00AA189C" w:rsidRDefault="00AA189C" w:rsidP="00AA189C">
      <w:pPr>
        <w:jc w:val="both"/>
        <w:rPr>
          <w:rFonts w:ascii="Arial" w:hAnsi="Arial" w:cs="Arial"/>
          <w:sz w:val="24"/>
        </w:rPr>
      </w:pPr>
    </w:p>
    <w:p w14:paraId="08D4BF8E" w14:textId="057BD102" w:rsidR="00AA189C" w:rsidRDefault="00AA189C" w:rsidP="00AA189C">
      <w:pPr>
        <w:jc w:val="both"/>
        <w:rPr>
          <w:rFonts w:ascii="Arial" w:hAnsi="Arial" w:cs="Arial"/>
          <w:sz w:val="24"/>
        </w:rPr>
      </w:pPr>
      <w:r w:rsidRPr="00E747B2">
        <w:rPr>
          <w:rFonts w:ascii="Arial" w:hAnsi="Arial" w:cs="Arial"/>
          <w:sz w:val="24"/>
        </w:rPr>
        <w:t xml:space="preserve">Tilastokeskuksen Rakennukset- ja kesämökit –tilaston mukaan Mikkelissä </w:t>
      </w:r>
      <w:r>
        <w:rPr>
          <w:rFonts w:ascii="Arial" w:hAnsi="Arial" w:cs="Arial"/>
          <w:sz w:val="24"/>
        </w:rPr>
        <w:t>oli vuoden 2019 lopussa</w:t>
      </w:r>
      <w:r w:rsidRPr="00E747B2">
        <w:rPr>
          <w:rFonts w:ascii="Arial" w:hAnsi="Arial" w:cs="Arial"/>
          <w:sz w:val="24"/>
        </w:rPr>
        <w:t xml:space="preserve"> yhteensä 16</w:t>
      </w:r>
      <w:r>
        <w:rPr>
          <w:rFonts w:ascii="Arial" w:hAnsi="Arial" w:cs="Arial"/>
          <w:sz w:val="24"/>
        </w:rPr>
        <w:t> </w:t>
      </w:r>
      <w:r w:rsidRPr="00E747B2">
        <w:rPr>
          <w:rFonts w:ascii="Arial" w:hAnsi="Arial" w:cs="Arial"/>
          <w:sz w:val="24"/>
        </w:rPr>
        <w:t>812</w:t>
      </w:r>
      <w:r>
        <w:rPr>
          <w:rFonts w:ascii="Arial" w:hAnsi="Arial" w:cs="Arial"/>
          <w:sz w:val="24"/>
        </w:rPr>
        <w:t xml:space="preserve"> </w:t>
      </w:r>
      <w:proofErr w:type="gramStart"/>
      <w:r>
        <w:rPr>
          <w:rFonts w:ascii="Arial" w:hAnsi="Arial" w:cs="Arial"/>
          <w:sz w:val="24"/>
        </w:rPr>
        <w:t>rakennusta</w:t>
      </w:r>
      <w:proofErr w:type="gramEnd"/>
      <w:r>
        <w:rPr>
          <w:rFonts w:ascii="Arial" w:hAnsi="Arial" w:cs="Arial"/>
          <w:sz w:val="24"/>
        </w:rPr>
        <w:t xml:space="preserve"> joiden kerrosala oli yhteensä noin 4,1 miljoonaa neliömetriä (</w:t>
      </w:r>
      <w:r w:rsidRPr="00E747B2">
        <w:rPr>
          <w:rFonts w:ascii="Arial" w:hAnsi="Arial" w:cs="Arial"/>
          <w:sz w:val="24"/>
        </w:rPr>
        <w:t>4</w:t>
      </w:r>
      <w:r>
        <w:rPr>
          <w:rFonts w:ascii="Arial" w:hAnsi="Arial" w:cs="Arial"/>
          <w:sz w:val="24"/>
        </w:rPr>
        <w:t> </w:t>
      </w:r>
      <w:r w:rsidRPr="00E747B2">
        <w:rPr>
          <w:rFonts w:ascii="Arial" w:hAnsi="Arial" w:cs="Arial"/>
          <w:sz w:val="24"/>
        </w:rPr>
        <w:t>904</w:t>
      </w:r>
      <w:r>
        <w:rPr>
          <w:rFonts w:ascii="Arial" w:hAnsi="Arial" w:cs="Arial"/>
          <w:sz w:val="24"/>
        </w:rPr>
        <w:t> </w:t>
      </w:r>
      <w:r w:rsidRPr="00E747B2">
        <w:rPr>
          <w:rFonts w:ascii="Arial" w:hAnsi="Arial" w:cs="Arial"/>
          <w:sz w:val="24"/>
        </w:rPr>
        <w:t>919</w:t>
      </w:r>
      <w:r>
        <w:rPr>
          <w:rFonts w:ascii="Arial" w:hAnsi="Arial" w:cs="Arial"/>
          <w:sz w:val="24"/>
        </w:rPr>
        <w:t xml:space="preserve"> m</w:t>
      </w:r>
      <w:r w:rsidRPr="00E747B2">
        <w:rPr>
          <w:rFonts w:ascii="Arial" w:hAnsi="Arial" w:cs="Arial"/>
          <w:sz w:val="24"/>
          <w:vertAlign w:val="superscript"/>
        </w:rPr>
        <w:t>2</w:t>
      </w:r>
      <w:r>
        <w:rPr>
          <w:rFonts w:ascii="Arial" w:hAnsi="Arial" w:cs="Arial"/>
          <w:sz w:val="24"/>
        </w:rPr>
        <w:t>). Suurin osa (37 % kerrosalan mukaan) rakennuksista on erillisiä pienaloja (</w:t>
      </w:r>
      <w:proofErr w:type="gramStart"/>
      <w:r>
        <w:rPr>
          <w:rFonts w:ascii="Arial" w:hAnsi="Arial" w:cs="Arial"/>
          <w:sz w:val="24"/>
        </w:rPr>
        <w:t>kuva ?</w:t>
      </w:r>
      <w:proofErr w:type="gramEnd"/>
      <w:r>
        <w:rPr>
          <w:rFonts w:ascii="Arial" w:hAnsi="Arial" w:cs="Arial"/>
          <w:sz w:val="24"/>
        </w:rPr>
        <w:t>). Toiseksi eniten on kerrostaloja (20 % kerrosalan mukaan). Tähän r</w:t>
      </w:r>
      <w:r w:rsidRPr="00906C13">
        <w:rPr>
          <w:rFonts w:ascii="Arial" w:hAnsi="Arial" w:cs="Arial"/>
          <w:sz w:val="24"/>
        </w:rPr>
        <w:t>akennuskantaan ei pääsääntöisesti sisälly kesämöki</w:t>
      </w:r>
      <w:r>
        <w:rPr>
          <w:rFonts w:ascii="Arial" w:hAnsi="Arial" w:cs="Arial"/>
          <w:sz w:val="24"/>
        </w:rPr>
        <w:t xml:space="preserve">t eikä mm. maatalousrakennukset. Kesämökeistä on kuitenkin olemassa oma taulukko, jonka mukaan Mikkelissä oli vuonna 2019 Mikkelissä </w:t>
      </w:r>
      <w:r w:rsidRPr="00906C13">
        <w:rPr>
          <w:rFonts w:ascii="Arial" w:hAnsi="Arial" w:cs="Arial"/>
          <w:sz w:val="24"/>
        </w:rPr>
        <w:t>10</w:t>
      </w:r>
      <w:r>
        <w:rPr>
          <w:rFonts w:ascii="Arial" w:hAnsi="Arial" w:cs="Arial"/>
          <w:sz w:val="24"/>
        </w:rPr>
        <w:t> </w:t>
      </w:r>
      <w:r w:rsidRPr="00906C13">
        <w:rPr>
          <w:rFonts w:ascii="Arial" w:hAnsi="Arial" w:cs="Arial"/>
          <w:sz w:val="24"/>
        </w:rPr>
        <w:t>558</w:t>
      </w:r>
      <w:r>
        <w:rPr>
          <w:rFonts w:ascii="Arial" w:hAnsi="Arial" w:cs="Arial"/>
          <w:sz w:val="24"/>
        </w:rPr>
        <w:t xml:space="preserve"> kesämökkiä. Kesämökkien kerrosalaa ei kuitenkaan ole tilastossa.</w:t>
      </w:r>
    </w:p>
    <w:p w14:paraId="4A5A8643" w14:textId="51C9FDF2" w:rsidR="0011149A" w:rsidRDefault="00AA189C" w:rsidP="00AA189C">
      <w:pPr>
        <w:jc w:val="both"/>
        <w:rPr>
          <w:rFonts w:ascii="Arial" w:hAnsi="Arial" w:cs="Arial"/>
          <w:sz w:val="24"/>
          <w:szCs w:val="24"/>
        </w:rPr>
      </w:pPr>
      <w:r w:rsidRPr="00C00894">
        <w:rPr>
          <w:rFonts w:ascii="Arial" w:hAnsi="Arial" w:cs="Arial"/>
          <w:sz w:val="24"/>
          <w:szCs w:val="24"/>
        </w:rPr>
        <w:t>Rakennusten sisältämät materiaalimäärät arvioitiin kerrosalan perusteella</w:t>
      </w:r>
      <w:r>
        <w:rPr>
          <w:rFonts w:ascii="Arial" w:hAnsi="Arial" w:cs="Arial"/>
          <w:sz w:val="24"/>
          <w:szCs w:val="24"/>
        </w:rPr>
        <w:t xml:space="preserve"> hyödyntämällä rakennusten purkamisessa laskettuja purkumateriaalimääriä</w:t>
      </w:r>
      <w:r w:rsidRPr="00C00894">
        <w:rPr>
          <w:rFonts w:ascii="Arial" w:hAnsi="Arial" w:cs="Arial"/>
          <w:sz w:val="24"/>
          <w:szCs w:val="24"/>
        </w:rPr>
        <w:t>.</w:t>
      </w:r>
      <w:r>
        <w:rPr>
          <w:rFonts w:ascii="Arial" w:hAnsi="Arial" w:cs="Arial"/>
          <w:sz w:val="24"/>
          <w:szCs w:val="24"/>
        </w:rPr>
        <w:t xml:space="preserve"> </w:t>
      </w:r>
      <w:r>
        <w:rPr>
          <w:rFonts w:ascii="Arial" w:hAnsi="Arial" w:cs="Arial"/>
          <w:sz w:val="24"/>
          <w:szCs w:val="24"/>
        </w:rPr>
        <w:t>Raimo Liljan ja Juha Kärkkäisen tekemässä purkujäteselvityksessä</w:t>
      </w:r>
      <w:r>
        <w:rPr>
          <w:rFonts w:ascii="Arial" w:hAnsi="Arial" w:cs="Arial"/>
          <w:sz w:val="24"/>
          <w:szCs w:val="24"/>
        </w:rPr>
        <w:t xml:space="preserve"> </w:t>
      </w:r>
      <w:r>
        <w:rPr>
          <w:rFonts w:ascii="Arial" w:hAnsi="Arial" w:cs="Arial"/>
          <w:sz w:val="24"/>
          <w:szCs w:val="24"/>
        </w:rPr>
        <w:t>(</w:t>
      </w:r>
      <w:hyperlink r:id="rId4" w:history="1">
        <w:r w:rsidRPr="00470D19">
          <w:rPr>
            <w:rStyle w:val="Hyperlink"/>
            <w:rFonts w:ascii="Arial" w:hAnsi="Arial" w:cs="Arial"/>
            <w:sz w:val="24"/>
            <w:szCs w:val="24"/>
          </w:rPr>
          <w:t>https://cityloops.metabolismofcities.org/library/989983/</w:t>
        </w:r>
      </w:hyperlink>
      <w:r>
        <w:rPr>
          <w:rFonts w:ascii="Arial" w:hAnsi="Arial" w:cs="Arial"/>
          <w:sz w:val="24"/>
          <w:szCs w:val="24"/>
        </w:rPr>
        <w:t xml:space="preserve">) ominaisjätemäärät laskettiin käyttämällä jätemääriä </w:t>
      </w:r>
      <w:r>
        <w:rPr>
          <w:rFonts w:ascii="Arial" w:hAnsi="Arial" w:cs="Arial"/>
          <w:sz w:val="24"/>
          <w:szCs w:val="24"/>
        </w:rPr>
        <w:t>neljästä Mikkelissä puretusta julkisesta rakennuksesta.</w:t>
      </w:r>
    </w:p>
    <w:p w14:paraId="32B38902" w14:textId="77777777" w:rsidR="00AA189C" w:rsidRDefault="00AA189C" w:rsidP="00AA189C">
      <w:pPr>
        <w:jc w:val="both"/>
        <w:rPr>
          <w:rFonts w:ascii="Arial" w:hAnsi="Arial" w:cs="Arial"/>
          <w:sz w:val="24"/>
          <w:szCs w:val="24"/>
        </w:rPr>
      </w:pPr>
      <w:r>
        <w:rPr>
          <w:rFonts w:ascii="Arial" w:hAnsi="Arial" w:cs="Arial"/>
          <w:sz w:val="24"/>
          <w:szCs w:val="24"/>
        </w:rPr>
        <w:t>Materiaalikohtaiset jätemäärät laskettiin mahdollisimman monelle SCA-tarkastelussa mukana olevalle materiaalille. Määrät ovat kuitenkin luotettavimpia betonille ja puulle. Muita materiaaleja on voinut sekoittua myös muiden jätejakeiden sekaan. Esim. lasin määrä on aineiston perusteella nolla, koska lasijätettä ei ole lajiteltu purkukohteissa erikseen. Maa-ainesten määrä ei välttämättä vastaa rakentamiseen käytettävän maa-aineksen määrää. Tarkastelun ulkopuolelle jätettiin muovijätteet, paperi- ja kartonkijätteet, energiajäte, muu vaarallinen jäte sekä lajittelematon rakennusjäte. Näin ollen kokonaisominaisjätemäärä ei ole aivan sama kuin purkujäteselvityksessä. Keskimäärin pois jätettyjen jätejakeiden osuus kokonaisjätemäärästä on 2 %.</w:t>
      </w:r>
    </w:p>
    <w:p w14:paraId="70227F77" w14:textId="59B396C9" w:rsidR="00AA189C" w:rsidRDefault="00AA189C" w:rsidP="00AA189C">
      <w:pPr>
        <w:jc w:val="both"/>
        <w:rPr>
          <w:rFonts w:ascii="Arial" w:hAnsi="Arial" w:cs="Arial"/>
          <w:sz w:val="24"/>
          <w:szCs w:val="24"/>
        </w:rPr>
      </w:pPr>
      <w:r>
        <w:rPr>
          <w:rFonts w:ascii="Arial" w:hAnsi="Arial" w:cs="Arial"/>
          <w:sz w:val="24"/>
          <w:szCs w:val="24"/>
        </w:rPr>
        <w:t>Rakennusten kerrosala (Rakennukset ja kesämökit, Tilastokeskus, vuoden 2019 tilasto) muutettiin materiaalitonneiksi käyttämällä Mikkelin kaikkien rakennusten kokonaiskerrosalaa 4 904 919 m2. Esim. betonin määrä voi olla yliarvioitu, koska pientaloissa betonin määrä voi olla selvästi alhaisempi. Purkujäteselvityksessä saatiin tieto vain y</w:t>
      </w:r>
      <w:r w:rsidRPr="00E16078">
        <w:rPr>
          <w:rFonts w:ascii="Arial" w:hAnsi="Arial" w:cs="Arial"/>
          <w:sz w:val="24"/>
          <w:szCs w:val="24"/>
        </w:rPr>
        <w:t xml:space="preserve">hdestä </w:t>
      </w:r>
      <w:r>
        <w:rPr>
          <w:rFonts w:ascii="Arial" w:hAnsi="Arial" w:cs="Arial"/>
          <w:sz w:val="24"/>
          <w:szCs w:val="24"/>
        </w:rPr>
        <w:t xml:space="preserve">puurakenteisesta omakotitalosta, jossa </w:t>
      </w:r>
      <w:r w:rsidRPr="00E16078">
        <w:rPr>
          <w:rFonts w:ascii="Arial" w:hAnsi="Arial" w:cs="Arial"/>
          <w:sz w:val="24"/>
          <w:szCs w:val="24"/>
        </w:rPr>
        <w:t>betonijätteen määrä</w:t>
      </w:r>
      <w:r>
        <w:rPr>
          <w:rFonts w:ascii="Arial" w:hAnsi="Arial" w:cs="Arial"/>
          <w:sz w:val="24"/>
          <w:szCs w:val="24"/>
        </w:rPr>
        <w:t xml:space="preserve"> oli</w:t>
      </w:r>
      <w:r w:rsidRPr="00E16078">
        <w:rPr>
          <w:rFonts w:ascii="Arial" w:hAnsi="Arial" w:cs="Arial"/>
          <w:sz w:val="24"/>
          <w:szCs w:val="24"/>
        </w:rPr>
        <w:t xml:space="preserve"> </w:t>
      </w:r>
      <w:r>
        <w:rPr>
          <w:rFonts w:ascii="Arial" w:hAnsi="Arial" w:cs="Arial"/>
          <w:sz w:val="24"/>
          <w:szCs w:val="24"/>
        </w:rPr>
        <w:t xml:space="preserve">0,156 t/m2 ja yhdestä kesämökistä, jossa </w:t>
      </w:r>
      <w:r w:rsidRPr="00E16078">
        <w:rPr>
          <w:rFonts w:ascii="Arial" w:hAnsi="Arial" w:cs="Arial"/>
          <w:sz w:val="24"/>
          <w:szCs w:val="24"/>
        </w:rPr>
        <w:t xml:space="preserve">puujätteen määrä </w:t>
      </w:r>
      <w:r>
        <w:rPr>
          <w:rFonts w:ascii="Arial" w:hAnsi="Arial" w:cs="Arial"/>
          <w:sz w:val="24"/>
          <w:szCs w:val="24"/>
        </w:rPr>
        <w:t>oli 0,054 t</w:t>
      </w:r>
      <w:r w:rsidRPr="00E16078">
        <w:rPr>
          <w:rFonts w:ascii="Arial" w:hAnsi="Arial" w:cs="Arial"/>
          <w:sz w:val="24"/>
          <w:szCs w:val="24"/>
        </w:rPr>
        <w:t xml:space="preserve">/m2. </w:t>
      </w:r>
      <w:r>
        <w:rPr>
          <w:rFonts w:ascii="Arial" w:hAnsi="Arial" w:cs="Arial"/>
          <w:sz w:val="24"/>
          <w:szCs w:val="24"/>
        </w:rPr>
        <w:t>Omakotitalojen materiaalimääriä yritettiin etsiä myös internetistä, mutta tietoa ei löydetty.</w:t>
      </w:r>
    </w:p>
    <w:p w14:paraId="59AC93EE" w14:textId="4CB3F56A" w:rsidR="00AA189C" w:rsidRDefault="00AA189C" w:rsidP="00AA189C">
      <w:pPr>
        <w:jc w:val="both"/>
        <w:rPr>
          <w:rFonts w:ascii="Arial" w:hAnsi="Arial" w:cs="Arial"/>
          <w:sz w:val="24"/>
          <w:szCs w:val="24"/>
        </w:rPr>
      </w:pPr>
    </w:p>
    <w:p w14:paraId="48A3BB1F" w14:textId="77777777" w:rsidR="00AA189C" w:rsidRDefault="00AA189C" w:rsidP="00AA189C">
      <w:pPr>
        <w:jc w:val="both"/>
        <w:rPr>
          <w:rFonts w:ascii="Arial" w:hAnsi="Arial" w:cs="Arial"/>
          <w:sz w:val="24"/>
          <w:szCs w:val="24"/>
        </w:rPr>
      </w:pPr>
    </w:p>
    <w:p w14:paraId="79107F89" w14:textId="77777777" w:rsidR="00AA189C" w:rsidRDefault="00AA189C" w:rsidP="00AA189C">
      <w:pPr>
        <w:jc w:val="both"/>
        <w:rPr>
          <w:rFonts w:ascii="Arial" w:hAnsi="Arial" w:cs="Arial"/>
          <w:sz w:val="24"/>
          <w:szCs w:val="24"/>
        </w:rPr>
      </w:pPr>
    </w:p>
    <w:p w14:paraId="6B74978C" w14:textId="77777777" w:rsidR="00AA189C" w:rsidRDefault="00AA189C" w:rsidP="00AA189C">
      <w:pPr>
        <w:jc w:val="both"/>
        <w:rPr>
          <w:rFonts w:ascii="Arial" w:hAnsi="Arial" w:cs="Arial"/>
          <w:sz w:val="24"/>
          <w:szCs w:val="24"/>
        </w:rPr>
      </w:pPr>
    </w:p>
    <w:p w14:paraId="18FD402F" w14:textId="77777777" w:rsidR="00AA189C" w:rsidRDefault="00AA189C" w:rsidP="00AA189C">
      <w:pPr>
        <w:jc w:val="both"/>
        <w:rPr>
          <w:rFonts w:ascii="Arial" w:hAnsi="Arial" w:cs="Arial"/>
          <w:sz w:val="24"/>
          <w:szCs w:val="24"/>
        </w:rPr>
      </w:pPr>
    </w:p>
    <w:p w14:paraId="3A988ADB" w14:textId="77777777" w:rsidR="00AA189C" w:rsidRDefault="00AA189C" w:rsidP="00AA189C">
      <w:pPr>
        <w:jc w:val="both"/>
        <w:rPr>
          <w:rFonts w:ascii="Arial" w:hAnsi="Arial" w:cs="Arial"/>
          <w:sz w:val="24"/>
          <w:szCs w:val="24"/>
        </w:rPr>
      </w:pPr>
    </w:p>
    <w:p w14:paraId="5645E48A" w14:textId="77777777" w:rsidR="00AA189C" w:rsidRDefault="00AA189C" w:rsidP="00AA189C">
      <w:pPr>
        <w:jc w:val="both"/>
        <w:rPr>
          <w:rFonts w:ascii="Arial" w:hAnsi="Arial" w:cs="Arial"/>
          <w:sz w:val="24"/>
          <w:szCs w:val="24"/>
        </w:rPr>
      </w:pPr>
    </w:p>
    <w:p w14:paraId="6259343B" w14:textId="77777777" w:rsidR="00AA189C" w:rsidRDefault="00AA189C" w:rsidP="00AA189C">
      <w:pPr>
        <w:jc w:val="both"/>
        <w:rPr>
          <w:rFonts w:ascii="Arial" w:hAnsi="Arial" w:cs="Arial"/>
          <w:sz w:val="24"/>
          <w:szCs w:val="24"/>
        </w:rPr>
      </w:pPr>
    </w:p>
    <w:p w14:paraId="1A64FC93" w14:textId="525D5A2C" w:rsidR="00AA189C" w:rsidRDefault="00AA189C" w:rsidP="00AA189C">
      <w:pPr>
        <w:jc w:val="both"/>
        <w:rPr>
          <w:rFonts w:ascii="Arial" w:hAnsi="Arial" w:cs="Arial"/>
          <w:sz w:val="24"/>
          <w:szCs w:val="24"/>
        </w:rPr>
      </w:pPr>
      <w:r>
        <w:rPr>
          <w:rFonts w:ascii="Arial" w:hAnsi="Arial" w:cs="Arial"/>
          <w:sz w:val="24"/>
          <w:szCs w:val="24"/>
        </w:rPr>
        <w:lastRenderedPageBreak/>
        <w:t xml:space="preserve">Taulukko </w:t>
      </w:r>
      <w:r>
        <w:rPr>
          <w:rFonts w:ascii="Arial" w:hAnsi="Arial" w:cs="Arial"/>
          <w:sz w:val="24"/>
          <w:szCs w:val="24"/>
        </w:rPr>
        <w:t>1</w:t>
      </w:r>
      <w:r>
        <w:rPr>
          <w:rFonts w:ascii="Arial" w:hAnsi="Arial" w:cs="Arial"/>
          <w:sz w:val="24"/>
          <w:szCs w:val="24"/>
        </w:rPr>
        <w:t>. Ominaisjätemäärät neljässä puretussa kohteessa Mikkelissä ja niiden perusteella laskettu materiaalien kokonaismäärä Mikkelin rakennuskannassa, kun rakennuskannan kokonaiskerrosala on 4 904 919 m2 (Rakennukset ja kesämökit, Tilastokeskus, vuoden 2019 tilasto).</w:t>
      </w:r>
    </w:p>
    <w:tbl>
      <w:tblPr>
        <w:tblStyle w:val="TableGrid"/>
        <w:tblW w:w="5000" w:type="pct"/>
        <w:tblLook w:val="04A0" w:firstRow="1" w:lastRow="0" w:firstColumn="1" w:lastColumn="0" w:noHBand="0" w:noVBand="1"/>
      </w:tblPr>
      <w:tblGrid>
        <w:gridCol w:w="4674"/>
        <w:gridCol w:w="2682"/>
        <w:gridCol w:w="2272"/>
      </w:tblGrid>
      <w:tr w:rsidR="00AA189C" w:rsidRPr="00C2479A" w14:paraId="5DBDF6A6" w14:textId="77777777" w:rsidTr="00AA189C">
        <w:trPr>
          <w:trHeight w:val="290"/>
        </w:trPr>
        <w:tc>
          <w:tcPr>
            <w:tcW w:w="2427" w:type="pct"/>
            <w:noWrap/>
            <w:hideMark/>
          </w:tcPr>
          <w:p w14:paraId="2F3A477B" w14:textId="77777777" w:rsidR="00AA189C" w:rsidRPr="00C2479A" w:rsidRDefault="00AA189C" w:rsidP="002D6673">
            <w:pPr>
              <w:rPr>
                <w:rFonts w:ascii="Times New Roman" w:eastAsia="Times New Roman" w:hAnsi="Times New Roman" w:cs="Times New Roman"/>
                <w:sz w:val="24"/>
                <w:szCs w:val="24"/>
                <w:lang w:eastAsia="fi-FI"/>
              </w:rPr>
            </w:pPr>
          </w:p>
        </w:tc>
        <w:tc>
          <w:tcPr>
            <w:tcW w:w="1393" w:type="pct"/>
            <w:noWrap/>
            <w:hideMark/>
          </w:tcPr>
          <w:p w14:paraId="73A23E2E" w14:textId="142D6093" w:rsidR="00AA189C" w:rsidRDefault="00AA189C" w:rsidP="002D6673">
            <w:pPr>
              <w:rPr>
                <w:rFonts w:ascii="Calibri" w:eastAsia="Times New Roman" w:hAnsi="Calibri" w:cs="Calibri"/>
                <w:color w:val="000000"/>
                <w:lang w:eastAsia="fi-FI"/>
              </w:rPr>
            </w:pPr>
            <w:proofErr w:type="spellStart"/>
            <w:r>
              <w:rPr>
                <w:rFonts w:ascii="Calibri" w:eastAsia="Times New Roman" w:hAnsi="Calibri" w:cs="Calibri"/>
                <w:color w:val="000000"/>
                <w:lang w:eastAsia="fi-FI"/>
              </w:rPr>
              <w:t>Ominajjätemäärä</w:t>
            </w:r>
            <w:proofErr w:type="spellEnd"/>
          </w:p>
          <w:p w14:paraId="3238563C" w14:textId="77777777" w:rsidR="00AA189C" w:rsidRPr="00C2479A" w:rsidRDefault="00AA189C" w:rsidP="002D6673">
            <w:pPr>
              <w:rPr>
                <w:rFonts w:ascii="Calibri" w:eastAsia="Times New Roman" w:hAnsi="Calibri" w:cs="Calibri"/>
                <w:color w:val="000000"/>
                <w:lang w:eastAsia="fi-FI"/>
              </w:rPr>
            </w:pPr>
            <w:r>
              <w:rPr>
                <w:rFonts w:ascii="Calibri" w:eastAsia="Times New Roman" w:hAnsi="Calibri" w:cs="Calibri"/>
                <w:color w:val="000000"/>
                <w:lang w:eastAsia="fi-FI"/>
              </w:rPr>
              <w:t>t/m2</w:t>
            </w:r>
          </w:p>
        </w:tc>
        <w:tc>
          <w:tcPr>
            <w:tcW w:w="1180" w:type="pct"/>
            <w:noWrap/>
            <w:hideMark/>
          </w:tcPr>
          <w:p w14:paraId="5636528B" w14:textId="77777777" w:rsidR="00AA189C" w:rsidRDefault="00AA189C" w:rsidP="002D6673">
            <w:pPr>
              <w:rPr>
                <w:rFonts w:ascii="Calibri" w:eastAsia="Times New Roman" w:hAnsi="Calibri" w:cs="Calibri"/>
                <w:color w:val="000000"/>
                <w:lang w:eastAsia="fi-FI"/>
              </w:rPr>
            </w:pPr>
            <w:r w:rsidRPr="00C2479A">
              <w:rPr>
                <w:rFonts w:ascii="Calibri" w:eastAsia="Times New Roman" w:hAnsi="Calibri" w:cs="Calibri"/>
                <w:color w:val="000000"/>
                <w:lang w:eastAsia="fi-FI"/>
              </w:rPr>
              <w:t>Materiaali</w:t>
            </w:r>
            <w:r>
              <w:rPr>
                <w:rFonts w:ascii="Calibri" w:eastAsia="Times New Roman" w:hAnsi="Calibri" w:cs="Calibri"/>
                <w:color w:val="000000"/>
                <w:lang w:eastAsia="fi-FI"/>
              </w:rPr>
              <w:t xml:space="preserve">en </w:t>
            </w:r>
          </w:p>
          <w:p w14:paraId="6F127025" w14:textId="77777777" w:rsidR="00AA189C" w:rsidRDefault="00AA189C" w:rsidP="002D6673">
            <w:pPr>
              <w:rPr>
                <w:rFonts w:ascii="Calibri" w:eastAsia="Times New Roman" w:hAnsi="Calibri" w:cs="Calibri"/>
                <w:color w:val="000000"/>
                <w:lang w:eastAsia="fi-FI"/>
              </w:rPr>
            </w:pPr>
            <w:r>
              <w:rPr>
                <w:rFonts w:ascii="Calibri" w:eastAsia="Times New Roman" w:hAnsi="Calibri" w:cs="Calibri"/>
                <w:color w:val="000000"/>
                <w:lang w:eastAsia="fi-FI"/>
              </w:rPr>
              <w:t>kokonaismäärä</w:t>
            </w:r>
            <w:r>
              <w:rPr>
                <w:rFonts w:ascii="Calibri" w:eastAsia="Times New Roman" w:hAnsi="Calibri" w:cs="Calibri"/>
                <w:color w:val="000000"/>
                <w:lang w:eastAsia="fi-FI"/>
              </w:rPr>
              <w:t xml:space="preserve"> </w:t>
            </w:r>
          </w:p>
          <w:p w14:paraId="36510873" w14:textId="7D097675" w:rsidR="00AA189C" w:rsidRPr="00C2479A" w:rsidRDefault="00AA189C" w:rsidP="002D6673">
            <w:pPr>
              <w:rPr>
                <w:rFonts w:ascii="Calibri" w:eastAsia="Times New Roman" w:hAnsi="Calibri" w:cs="Calibri"/>
                <w:color w:val="000000"/>
                <w:lang w:eastAsia="fi-FI"/>
              </w:rPr>
            </w:pPr>
            <w:r w:rsidRPr="00C2479A">
              <w:rPr>
                <w:rFonts w:ascii="Calibri" w:eastAsia="Times New Roman" w:hAnsi="Calibri" w:cs="Calibri"/>
                <w:color w:val="000000"/>
                <w:lang w:eastAsia="fi-FI"/>
              </w:rPr>
              <w:t>rakennuskannassa t</w:t>
            </w:r>
          </w:p>
        </w:tc>
      </w:tr>
      <w:tr w:rsidR="00AA189C" w:rsidRPr="00C2479A" w14:paraId="2B53F0F7" w14:textId="77777777" w:rsidTr="00AA189C">
        <w:trPr>
          <w:trHeight w:val="290"/>
        </w:trPr>
        <w:tc>
          <w:tcPr>
            <w:tcW w:w="2427" w:type="pct"/>
            <w:hideMark/>
          </w:tcPr>
          <w:p w14:paraId="5BAC1419" w14:textId="77777777" w:rsidR="00AA189C" w:rsidRPr="00C2479A" w:rsidRDefault="00AA189C" w:rsidP="002D6673">
            <w:pPr>
              <w:rPr>
                <w:rFonts w:ascii="Arial" w:eastAsia="Times New Roman" w:hAnsi="Arial" w:cs="Arial"/>
                <w:bCs/>
                <w:color w:val="000000"/>
                <w:sz w:val="20"/>
                <w:szCs w:val="20"/>
                <w:lang w:eastAsia="fi-FI"/>
              </w:rPr>
            </w:pPr>
            <w:r w:rsidRPr="00C2479A">
              <w:rPr>
                <w:rFonts w:ascii="Arial" w:eastAsia="Times New Roman" w:hAnsi="Arial" w:cs="Arial"/>
                <w:bCs/>
                <w:color w:val="000000"/>
                <w:sz w:val="20"/>
                <w:szCs w:val="20"/>
                <w:lang w:eastAsia="fi-FI"/>
              </w:rPr>
              <w:t>Aluminium</w:t>
            </w:r>
            <w:r>
              <w:rPr>
                <w:rFonts w:ascii="Arial" w:eastAsia="Times New Roman" w:hAnsi="Arial" w:cs="Arial"/>
                <w:bCs/>
                <w:color w:val="000000"/>
                <w:sz w:val="20"/>
                <w:szCs w:val="20"/>
                <w:lang w:eastAsia="fi-FI"/>
              </w:rPr>
              <w:t xml:space="preserve"> (metallijätteet)</w:t>
            </w:r>
          </w:p>
        </w:tc>
        <w:tc>
          <w:tcPr>
            <w:tcW w:w="1393" w:type="pct"/>
            <w:noWrap/>
            <w:hideMark/>
          </w:tcPr>
          <w:p w14:paraId="1443C834"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0,038</w:t>
            </w:r>
          </w:p>
        </w:tc>
        <w:tc>
          <w:tcPr>
            <w:tcW w:w="1180" w:type="pct"/>
            <w:noWrap/>
            <w:hideMark/>
          </w:tcPr>
          <w:p w14:paraId="07643BBA"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184374</w:t>
            </w:r>
          </w:p>
        </w:tc>
      </w:tr>
      <w:tr w:rsidR="00AA189C" w:rsidRPr="00C2479A" w14:paraId="07098412" w14:textId="77777777" w:rsidTr="00AA189C">
        <w:trPr>
          <w:trHeight w:val="290"/>
        </w:trPr>
        <w:tc>
          <w:tcPr>
            <w:tcW w:w="2427" w:type="pct"/>
            <w:hideMark/>
          </w:tcPr>
          <w:p w14:paraId="4E4FF584" w14:textId="77777777" w:rsidR="00AA189C" w:rsidRPr="00C2479A" w:rsidRDefault="00AA189C" w:rsidP="002D6673">
            <w:pPr>
              <w:rPr>
                <w:rFonts w:ascii="Arial" w:eastAsia="Times New Roman" w:hAnsi="Arial" w:cs="Arial"/>
                <w:bCs/>
                <w:color w:val="000000"/>
                <w:sz w:val="20"/>
                <w:szCs w:val="20"/>
                <w:lang w:eastAsia="fi-FI"/>
              </w:rPr>
            </w:pPr>
            <w:proofErr w:type="spellStart"/>
            <w:r w:rsidRPr="00C2479A">
              <w:rPr>
                <w:rFonts w:ascii="Arial" w:eastAsia="Times New Roman" w:hAnsi="Arial" w:cs="Arial"/>
                <w:bCs/>
                <w:color w:val="000000"/>
                <w:sz w:val="20"/>
                <w:szCs w:val="20"/>
                <w:lang w:eastAsia="fi-FI"/>
              </w:rPr>
              <w:t>Bitumen</w:t>
            </w:r>
            <w:proofErr w:type="spellEnd"/>
            <w:r w:rsidRPr="00C2479A">
              <w:rPr>
                <w:rFonts w:ascii="Arial" w:eastAsia="Times New Roman" w:hAnsi="Arial" w:cs="Arial"/>
                <w:bCs/>
                <w:color w:val="000000"/>
                <w:sz w:val="20"/>
                <w:szCs w:val="20"/>
                <w:lang w:eastAsia="fi-FI"/>
              </w:rPr>
              <w:t xml:space="preserve">/ </w:t>
            </w:r>
            <w:proofErr w:type="spellStart"/>
            <w:r w:rsidRPr="00C2479A">
              <w:rPr>
                <w:rFonts w:ascii="Arial" w:eastAsia="Times New Roman" w:hAnsi="Arial" w:cs="Arial"/>
                <w:bCs/>
                <w:color w:val="000000"/>
                <w:sz w:val="20"/>
                <w:szCs w:val="20"/>
                <w:lang w:eastAsia="fi-FI"/>
              </w:rPr>
              <w:t>Asphalt</w:t>
            </w:r>
            <w:proofErr w:type="spellEnd"/>
            <w:r>
              <w:rPr>
                <w:rFonts w:ascii="Arial" w:eastAsia="Times New Roman" w:hAnsi="Arial" w:cs="Arial"/>
                <w:bCs/>
                <w:color w:val="000000"/>
                <w:sz w:val="20"/>
                <w:szCs w:val="20"/>
                <w:lang w:eastAsia="fi-FI"/>
              </w:rPr>
              <w:t xml:space="preserve"> (kattohuopajäte)</w:t>
            </w:r>
          </w:p>
        </w:tc>
        <w:tc>
          <w:tcPr>
            <w:tcW w:w="1393" w:type="pct"/>
            <w:noWrap/>
            <w:hideMark/>
          </w:tcPr>
          <w:p w14:paraId="2A71D834"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0,005</w:t>
            </w:r>
          </w:p>
        </w:tc>
        <w:tc>
          <w:tcPr>
            <w:tcW w:w="1180" w:type="pct"/>
            <w:noWrap/>
            <w:hideMark/>
          </w:tcPr>
          <w:p w14:paraId="6C8009EC"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22607</w:t>
            </w:r>
          </w:p>
        </w:tc>
      </w:tr>
      <w:tr w:rsidR="00AA189C" w:rsidRPr="00C2479A" w14:paraId="35D8FF79" w14:textId="77777777" w:rsidTr="00AA189C">
        <w:trPr>
          <w:trHeight w:val="290"/>
        </w:trPr>
        <w:tc>
          <w:tcPr>
            <w:tcW w:w="2427" w:type="pct"/>
            <w:hideMark/>
          </w:tcPr>
          <w:p w14:paraId="131C5838" w14:textId="77777777" w:rsidR="00AA189C" w:rsidRPr="00C2479A" w:rsidRDefault="00AA189C" w:rsidP="002D6673">
            <w:pPr>
              <w:rPr>
                <w:rFonts w:ascii="Arial" w:eastAsia="Times New Roman" w:hAnsi="Arial" w:cs="Arial"/>
                <w:bCs/>
                <w:color w:val="000000"/>
                <w:sz w:val="20"/>
                <w:szCs w:val="20"/>
                <w:lang w:eastAsia="fi-FI"/>
              </w:rPr>
            </w:pPr>
            <w:proofErr w:type="spellStart"/>
            <w:r w:rsidRPr="00C2479A">
              <w:rPr>
                <w:rFonts w:ascii="Arial" w:eastAsia="Times New Roman" w:hAnsi="Arial" w:cs="Arial"/>
                <w:bCs/>
                <w:color w:val="000000"/>
                <w:sz w:val="20"/>
                <w:szCs w:val="20"/>
                <w:lang w:eastAsia="fi-FI"/>
              </w:rPr>
              <w:t>Bricks</w:t>
            </w:r>
            <w:proofErr w:type="spellEnd"/>
          </w:p>
        </w:tc>
        <w:tc>
          <w:tcPr>
            <w:tcW w:w="1393" w:type="pct"/>
            <w:noWrap/>
            <w:hideMark/>
          </w:tcPr>
          <w:p w14:paraId="49D7F507" w14:textId="77777777" w:rsidR="00AA189C" w:rsidRPr="00C2479A" w:rsidRDefault="00AA189C" w:rsidP="002D6673">
            <w:pPr>
              <w:rPr>
                <w:rFonts w:ascii="Times New Roman" w:eastAsia="Times New Roman" w:hAnsi="Times New Roman" w:cs="Times New Roman"/>
                <w:sz w:val="20"/>
                <w:szCs w:val="20"/>
                <w:lang w:eastAsia="fi-FI"/>
              </w:rPr>
            </w:pPr>
          </w:p>
        </w:tc>
        <w:tc>
          <w:tcPr>
            <w:tcW w:w="1180" w:type="pct"/>
            <w:noWrap/>
            <w:hideMark/>
          </w:tcPr>
          <w:p w14:paraId="7CDFEECC" w14:textId="77777777" w:rsidR="00AA189C" w:rsidRPr="00C2479A" w:rsidRDefault="00AA189C" w:rsidP="002D6673">
            <w:pPr>
              <w:rPr>
                <w:rFonts w:ascii="Times New Roman" w:eastAsia="Times New Roman" w:hAnsi="Times New Roman" w:cs="Times New Roman"/>
                <w:sz w:val="20"/>
                <w:szCs w:val="20"/>
                <w:lang w:eastAsia="fi-FI"/>
              </w:rPr>
            </w:pPr>
          </w:p>
        </w:tc>
      </w:tr>
      <w:tr w:rsidR="00AA189C" w:rsidRPr="00C2479A" w14:paraId="1532DFED" w14:textId="77777777" w:rsidTr="00AA189C">
        <w:trPr>
          <w:trHeight w:val="290"/>
        </w:trPr>
        <w:tc>
          <w:tcPr>
            <w:tcW w:w="2427" w:type="pct"/>
            <w:hideMark/>
          </w:tcPr>
          <w:p w14:paraId="60CD8611" w14:textId="77777777" w:rsidR="00AA189C" w:rsidRPr="00C2479A" w:rsidRDefault="00AA189C" w:rsidP="002D6673">
            <w:pPr>
              <w:rPr>
                <w:rFonts w:ascii="Arial" w:eastAsia="Times New Roman" w:hAnsi="Arial" w:cs="Arial"/>
                <w:bCs/>
                <w:color w:val="000000"/>
                <w:sz w:val="20"/>
                <w:szCs w:val="20"/>
                <w:lang w:eastAsia="fi-FI"/>
              </w:rPr>
            </w:pPr>
            <w:proofErr w:type="spellStart"/>
            <w:proofErr w:type="gramStart"/>
            <w:r w:rsidRPr="00C2479A">
              <w:rPr>
                <w:rFonts w:ascii="Arial" w:eastAsia="Times New Roman" w:hAnsi="Arial" w:cs="Arial"/>
                <w:bCs/>
                <w:color w:val="000000"/>
                <w:sz w:val="20"/>
                <w:szCs w:val="20"/>
                <w:lang w:eastAsia="fi-FI"/>
              </w:rPr>
              <w:t>Concrete</w:t>
            </w:r>
            <w:proofErr w:type="spellEnd"/>
            <w:r>
              <w:rPr>
                <w:rFonts w:ascii="Arial" w:eastAsia="Times New Roman" w:hAnsi="Arial" w:cs="Arial"/>
                <w:bCs/>
                <w:color w:val="000000"/>
                <w:sz w:val="20"/>
                <w:szCs w:val="20"/>
                <w:lang w:eastAsia="fi-FI"/>
              </w:rPr>
              <w:t xml:space="preserve">  </w:t>
            </w:r>
            <w:r>
              <w:rPr>
                <w:rFonts w:ascii="Times New Roman" w:eastAsia="Times New Roman" w:hAnsi="Times New Roman" w:cs="Times New Roman"/>
                <w:sz w:val="20"/>
                <w:szCs w:val="20"/>
                <w:lang w:eastAsia="fi-FI"/>
              </w:rPr>
              <w:t>(</w:t>
            </w:r>
            <w:proofErr w:type="gramEnd"/>
            <w:r>
              <w:rPr>
                <w:rFonts w:ascii="Times New Roman" w:eastAsia="Times New Roman" w:hAnsi="Times New Roman" w:cs="Times New Roman"/>
                <w:sz w:val="20"/>
                <w:szCs w:val="20"/>
                <w:lang w:eastAsia="fi-FI"/>
              </w:rPr>
              <w:t>Betoni-, tiili- ja kivennäislaattajätteet + lievästi pilaantunut betoni)</w:t>
            </w:r>
          </w:p>
        </w:tc>
        <w:tc>
          <w:tcPr>
            <w:tcW w:w="1393" w:type="pct"/>
            <w:noWrap/>
            <w:hideMark/>
          </w:tcPr>
          <w:p w14:paraId="6331487A"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1,649</w:t>
            </w:r>
          </w:p>
        </w:tc>
        <w:tc>
          <w:tcPr>
            <w:tcW w:w="1180" w:type="pct"/>
            <w:noWrap/>
            <w:hideMark/>
          </w:tcPr>
          <w:p w14:paraId="74B66AFA"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8089908</w:t>
            </w:r>
          </w:p>
        </w:tc>
      </w:tr>
      <w:tr w:rsidR="00AA189C" w:rsidRPr="00C2479A" w14:paraId="1F0504B0" w14:textId="77777777" w:rsidTr="00AA189C">
        <w:trPr>
          <w:trHeight w:val="290"/>
        </w:trPr>
        <w:tc>
          <w:tcPr>
            <w:tcW w:w="2427" w:type="pct"/>
            <w:hideMark/>
          </w:tcPr>
          <w:p w14:paraId="5BC5382D" w14:textId="77777777" w:rsidR="00AA189C" w:rsidRPr="00C2479A" w:rsidRDefault="00AA189C" w:rsidP="002D6673">
            <w:pPr>
              <w:rPr>
                <w:rFonts w:ascii="Arial" w:eastAsia="Times New Roman" w:hAnsi="Arial" w:cs="Arial"/>
                <w:bCs/>
                <w:color w:val="000000"/>
                <w:sz w:val="20"/>
                <w:szCs w:val="20"/>
                <w:lang w:eastAsia="fi-FI"/>
              </w:rPr>
            </w:pPr>
            <w:proofErr w:type="spellStart"/>
            <w:r w:rsidRPr="00C2479A">
              <w:rPr>
                <w:rFonts w:ascii="Arial" w:eastAsia="Times New Roman" w:hAnsi="Arial" w:cs="Arial"/>
                <w:bCs/>
                <w:color w:val="000000"/>
                <w:sz w:val="20"/>
                <w:szCs w:val="20"/>
                <w:lang w:eastAsia="fi-FI"/>
              </w:rPr>
              <w:t>Glass</w:t>
            </w:r>
            <w:proofErr w:type="spellEnd"/>
          </w:p>
        </w:tc>
        <w:tc>
          <w:tcPr>
            <w:tcW w:w="1393" w:type="pct"/>
            <w:noWrap/>
            <w:hideMark/>
          </w:tcPr>
          <w:p w14:paraId="4018C62A"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0,000</w:t>
            </w:r>
          </w:p>
        </w:tc>
        <w:tc>
          <w:tcPr>
            <w:tcW w:w="1180" w:type="pct"/>
            <w:noWrap/>
            <w:hideMark/>
          </w:tcPr>
          <w:p w14:paraId="11770B9B"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0</w:t>
            </w:r>
          </w:p>
        </w:tc>
      </w:tr>
      <w:tr w:rsidR="00AA189C" w:rsidRPr="00C2479A" w14:paraId="232940C0" w14:textId="77777777" w:rsidTr="00AA189C">
        <w:trPr>
          <w:trHeight w:val="290"/>
        </w:trPr>
        <w:tc>
          <w:tcPr>
            <w:tcW w:w="2427" w:type="pct"/>
            <w:hideMark/>
          </w:tcPr>
          <w:p w14:paraId="1E91A370" w14:textId="77777777" w:rsidR="00AA189C" w:rsidRPr="00C2479A" w:rsidRDefault="00AA189C" w:rsidP="002D6673">
            <w:pPr>
              <w:rPr>
                <w:rFonts w:ascii="Arial" w:eastAsia="Times New Roman" w:hAnsi="Arial" w:cs="Arial"/>
                <w:bCs/>
                <w:color w:val="000000"/>
                <w:sz w:val="20"/>
                <w:szCs w:val="20"/>
                <w:lang w:eastAsia="fi-FI"/>
              </w:rPr>
            </w:pPr>
            <w:proofErr w:type="spellStart"/>
            <w:r w:rsidRPr="00C2479A">
              <w:rPr>
                <w:rFonts w:ascii="Arial" w:eastAsia="Times New Roman" w:hAnsi="Arial" w:cs="Arial"/>
                <w:bCs/>
                <w:color w:val="000000"/>
                <w:sz w:val="20"/>
                <w:szCs w:val="20"/>
                <w:lang w:eastAsia="fi-FI"/>
              </w:rPr>
              <w:t>Gypsum</w:t>
            </w:r>
            <w:proofErr w:type="spellEnd"/>
          </w:p>
        </w:tc>
        <w:tc>
          <w:tcPr>
            <w:tcW w:w="1393" w:type="pct"/>
            <w:noWrap/>
            <w:hideMark/>
          </w:tcPr>
          <w:p w14:paraId="42FFA8E3"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0,000</w:t>
            </w:r>
          </w:p>
        </w:tc>
        <w:tc>
          <w:tcPr>
            <w:tcW w:w="1180" w:type="pct"/>
            <w:noWrap/>
            <w:hideMark/>
          </w:tcPr>
          <w:p w14:paraId="64FEEF25"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1870</w:t>
            </w:r>
          </w:p>
        </w:tc>
      </w:tr>
      <w:tr w:rsidR="00AA189C" w:rsidRPr="00C2479A" w14:paraId="632C0F41" w14:textId="77777777" w:rsidTr="00AA189C">
        <w:trPr>
          <w:trHeight w:val="290"/>
        </w:trPr>
        <w:tc>
          <w:tcPr>
            <w:tcW w:w="2427" w:type="pct"/>
            <w:hideMark/>
          </w:tcPr>
          <w:p w14:paraId="00A5C538" w14:textId="77777777" w:rsidR="00AA189C" w:rsidRPr="00C2479A" w:rsidRDefault="00AA189C" w:rsidP="002D6673">
            <w:pPr>
              <w:rPr>
                <w:rFonts w:ascii="Arial" w:eastAsia="Times New Roman" w:hAnsi="Arial" w:cs="Arial"/>
                <w:bCs/>
                <w:color w:val="000000"/>
                <w:sz w:val="20"/>
                <w:szCs w:val="20"/>
                <w:lang w:eastAsia="fi-FI"/>
              </w:rPr>
            </w:pPr>
            <w:proofErr w:type="spellStart"/>
            <w:r w:rsidRPr="00C2479A">
              <w:rPr>
                <w:rFonts w:ascii="Arial" w:eastAsia="Times New Roman" w:hAnsi="Arial" w:cs="Arial"/>
                <w:bCs/>
                <w:color w:val="000000"/>
                <w:sz w:val="20"/>
                <w:szCs w:val="20"/>
                <w:lang w:eastAsia="fi-FI"/>
              </w:rPr>
              <w:t>Insulation</w:t>
            </w:r>
            <w:proofErr w:type="spellEnd"/>
          </w:p>
        </w:tc>
        <w:tc>
          <w:tcPr>
            <w:tcW w:w="1393" w:type="pct"/>
            <w:noWrap/>
            <w:hideMark/>
          </w:tcPr>
          <w:p w14:paraId="4EC9D5A7"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0,006</w:t>
            </w:r>
          </w:p>
        </w:tc>
        <w:tc>
          <w:tcPr>
            <w:tcW w:w="1180" w:type="pct"/>
            <w:noWrap/>
            <w:hideMark/>
          </w:tcPr>
          <w:p w14:paraId="301650F2"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29653</w:t>
            </w:r>
          </w:p>
        </w:tc>
      </w:tr>
      <w:tr w:rsidR="00AA189C" w:rsidRPr="00C2479A" w14:paraId="1ED60B17" w14:textId="77777777" w:rsidTr="00AA189C">
        <w:trPr>
          <w:trHeight w:val="290"/>
        </w:trPr>
        <w:tc>
          <w:tcPr>
            <w:tcW w:w="2427" w:type="pct"/>
            <w:hideMark/>
          </w:tcPr>
          <w:p w14:paraId="2C522B6C" w14:textId="77777777" w:rsidR="00AA189C" w:rsidRPr="00C2479A" w:rsidRDefault="00AA189C" w:rsidP="002D6673">
            <w:pPr>
              <w:rPr>
                <w:rFonts w:ascii="Arial" w:eastAsia="Times New Roman" w:hAnsi="Arial" w:cs="Arial"/>
                <w:bCs/>
                <w:color w:val="000000"/>
                <w:sz w:val="20"/>
                <w:szCs w:val="20"/>
                <w:lang w:eastAsia="fi-FI"/>
              </w:rPr>
            </w:pPr>
            <w:r w:rsidRPr="00C2479A">
              <w:rPr>
                <w:rFonts w:ascii="Arial" w:eastAsia="Times New Roman" w:hAnsi="Arial" w:cs="Arial"/>
                <w:bCs/>
                <w:color w:val="000000"/>
                <w:sz w:val="20"/>
                <w:szCs w:val="20"/>
                <w:lang w:eastAsia="fi-FI"/>
              </w:rPr>
              <w:t>Iron (Steel)</w:t>
            </w:r>
          </w:p>
        </w:tc>
        <w:tc>
          <w:tcPr>
            <w:tcW w:w="1393" w:type="pct"/>
            <w:noWrap/>
            <w:hideMark/>
          </w:tcPr>
          <w:p w14:paraId="2397D13B" w14:textId="77777777" w:rsidR="00AA189C" w:rsidRPr="00C2479A" w:rsidRDefault="00AA189C" w:rsidP="002D6673">
            <w:pPr>
              <w:rPr>
                <w:rFonts w:ascii="Times New Roman" w:eastAsia="Times New Roman" w:hAnsi="Times New Roman" w:cs="Times New Roman"/>
                <w:sz w:val="20"/>
                <w:szCs w:val="20"/>
                <w:lang w:eastAsia="fi-FI"/>
              </w:rPr>
            </w:pPr>
          </w:p>
        </w:tc>
        <w:tc>
          <w:tcPr>
            <w:tcW w:w="1180" w:type="pct"/>
            <w:noWrap/>
            <w:hideMark/>
          </w:tcPr>
          <w:p w14:paraId="1242918A" w14:textId="77777777" w:rsidR="00AA189C" w:rsidRPr="00C2479A" w:rsidRDefault="00AA189C" w:rsidP="002D6673">
            <w:pPr>
              <w:rPr>
                <w:rFonts w:ascii="Times New Roman" w:eastAsia="Times New Roman" w:hAnsi="Times New Roman" w:cs="Times New Roman"/>
                <w:sz w:val="20"/>
                <w:szCs w:val="20"/>
                <w:lang w:eastAsia="fi-FI"/>
              </w:rPr>
            </w:pPr>
          </w:p>
        </w:tc>
      </w:tr>
      <w:tr w:rsidR="00AA189C" w:rsidRPr="00C2479A" w14:paraId="5C71CDED" w14:textId="77777777" w:rsidTr="00AA189C">
        <w:trPr>
          <w:trHeight w:val="290"/>
        </w:trPr>
        <w:tc>
          <w:tcPr>
            <w:tcW w:w="2427" w:type="pct"/>
            <w:hideMark/>
          </w:tcPr>
          <w:p w14:paraId="14742E6D" w14:textId="77777777" w:rsidR="00AA189C" w:rsidRPr="00C2479A" w:rsidRDefault="00AA189C" w:rsidP="002D6673">
            <w:pPr>
              <w:rPr>
                <w:rFonts w:ascii="Arial" w:eastAsia="Times New Roman" w:hAnsi="Arial" w:cs="Arial"/>
                <w:bCs/>
                <w:color w:val="000000"/>
                <w:sz w:val="20"/>
                <w:szCs w:val="20"/>
                <w:lang w:eastAsia="fi-FI"/>
              </w:rPr>
            </w:pPr>
            <w:proofErr w:type="spellStart"/>
            <w:r w:rsidRPr="00C2479A">
              <w:rPr>
                <w:rFonts w:ascii="Arial" w:eastAsia="Times New Roman" w:hAnsi="Arial" w:cs="Arial"/>
                <w:bCs/>
                <w:color w:val="000000"/>
                <w:sz w:val="20"/>
                <w:szCs w:val="20"/>
                <w:lang w:eastAsia="fi-FI"/>
              </w:rPr>
              <w:t>Sand&amp;gravel</w:t>
            </w:r>
            <w:proofErr w:type="spellEnd"/>
          </w:p>
        </w:tc>
        <w:tc>
          <w:tcPr>
            <w:tcW w:w="1393" w:type="pct"/>
            <w:noWrap/>
            <w:hideMark/>
          </w:tcPr>
          <w:p w14:paraId="68D5EE4B" w14:textId="77777777" w:rsidR="00AA189C" w:rsidRPr="00C2479A" w:rsidRDefault="00AA189C" w:rsidP="002D6673">
            <w:pPr>
              <w:rPr>
                <w:rFonts w:ascii="Times New Roman" w:eastAsia="Times New Roman" w:hAnsi="Times New Roman" w:cs="Times New Roman"/>
                <w:sz w:val="20"/>
                <w:szCs w:val="20"/>
                <w:lang w:eastAsia="fi-FI"/>
              </w:rPr>
            </w:pPr>
          </w:p>
        </w:tc>
        <w:tc>
          <w:tcPr>
            <w:tcW w:w="1180" w:type="pct"/>
            <w:noWrap/>
            <w:hideMark/>
          </w:tcPr>
          <w:p w14:paraId="7223A4AF" w14:textId="77777777" w:rsidR="00AA189C" w:rsidRPr="00C2479A" w:rsidRDefault="00AA189C" w:rsidP="002D6673">
            <w:pPr>
              <w:rPr>
                <w:rFonts w:ascii="Times New Roman" w:eastAsia="Times New Roman" w:hAnsi="Times New Roman" w:cs="Times New Roman"/>
                <w:sz w:val="20"/>
                <w:szCs w:val="20"/>
                <w:lang w:eastAsia="fi-FI"/>
              </w:rPr>
            </w:pPr>
          </w:p>
        </w:tc>
      </w:tr>
      <w:tr w:rsidR="00AA189C" w:rsidRPr="00C2479A" w14:paraId="3CCE3AF7" w14:textId="77777777" w:rsidTr="00AA189C">
        <w:trPr>
          <w:trHeight w:val="290"/>
        </w:trPr>
        <w:tc>
          <w:tcPr>
            <w:tcW w:w="2427" w:type="pct"/>
            <w:hideMark/>
          </w:tcPr>
          <w:p w14:paraId="14F5DCC9" w14:textId="77777777" w:rsidR="00AA189C" w:rsidRPr="00C2479A" w:rsidRDefault="00AA189C" w:rsidP="002D6673">
            <w:pPr>
              <w:rPr>
                <w:rFonts w:ascii="Arial" w:eastAsia="Times New Roman" w:hAnsi="Arial" w:cs="Arial"/>
                <w:bCs/>
                <w:color w:val="000000"/>
                <w:sz w:val="20"/>
                <w:szCs w:val="20"/>
                <w:lang w:eastAsia="fi-FI"/>
              </w:rPr>
            </w:pPr>
            <w:proofErr w:type="spellStart"/>
            <w:r w:rsidRPr="00C2479A">
              <w:rPr>
                <w:rFonts w:ascii="Arial" w:eastAsia="Times New Roman" w:hAnsi="Arial" w:cs="Arial"/>
                <w:bCs/>
                <w:color w:val="000000"/>
                <w:sz w:val="20"/>
                <w:szCs w:val="20"/>
                <w:lang w:eastAsia="fi-FI"/>
              </w:rPr>
              <w:t>Soil</w:t>
            </w:r>
            <w:proofErr w:type="spellEnd"/>
            <w:r>
              <w:rPr>
                <w:rFonts w:ascii="Arial" w:eastAsia="Times New Roman" w:hAnsi="Arial" w:cs="Arial"/>
                <w:bCs/>
                <w:color w:val="000000"/>
                <w:sz w:val="20"/>
                <w:szCs w:val="20"/>
                <w:lang w:eastAsia="fi-FI"/>
              </w:rPr>
              <w:t xml:space="preserve"> (maa- ja kiviainesjätteet)</w:t>
            </w:r>
          </w:p>
        </w:tc>
        <w:tc>
          <w:tcPr>
            <w:tcW w:w="1393" w:type="pct"/>
            <w:noWrap/>
            <w:hideMark/>
          </w:tcPr>
          <w:p w14:paraId="651A53A2"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0,010</w:t>
            </w:r>
          </w:p>
        </w:tc>
        <w:tc>
          <w:tcPr>
            <w:tcW w:w="1180" w:type="pct"/>
            <w:noWrap/>
            <w:hideMark/>
          </w:tcPr>
          <w:p w14:paraId="3E076583"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49049</w:t>
            </w:r>
          </w:p>
        </w:tc>
      </w:tr>
      <w:tr w:rsidR="00AA189C" w:rsidRPr="00C2479A" w14:paraId="5BD5AA62" w14:textId="77777777" w:rsidTr="00AA189C">
        <w:trPr>
          <w:trHeight w:val="290"/>
        </w:trPr>
        <w:tc>
          <w:tcPr>
            <w:tcW w:w="2427" w:type="pct"/>
            <w:hideMark/>
          </w:tcPr>
          <w:p w14:paraId="4EB8F08B" w14:textId="77777777" w:rsidR="00AA189C" w:rsidRPr="00C2479A" w:rsidRDefault="00AA189C" w:rsidP="002D6673">
            <w:pPr>
              <w:rPr>
                <w:rFonts w:ascii="Arial" w:eastAsia="Times New Roman" w:hAnsi="Arial" w:cs="Arial"/>
                <w:bCs/>
                <w:color w:val="000000"/>
                <w:sz w:val="20"/>
                <w:szCs w:val="20"/>
                <w:lang w:eastAsia="fi-FI"/>
              </w:rPr>
            </w:pPr>
            <w:proofErr w:type="spellStart"/>
            <w:r w:rsidRPr="00C2479A">
              <w:rPr>
                <w:rFonts w:ascii="Arial" w:eastAsia="Times New Roman" w:hAnsi="Arial" w:cs="Arial"/>
                <w:bCs/>
                <w:color w:val="000000"/>
                <w:sz w:val="20"/>
                <w:szCs w:val="20"/>
                <w:lang w:eastAsia="fi-FI"/>
              </w:rPr>
              <w:t>Timber</w:t>
            </w:r>
            <w:proofErr w:type="spellEnd"/>
            <w:r>
              <w:rPr>
                <w:rFonts w:ascii="Arial" w:eastAsia="Times New Roman" w:hAnsi="Arial" w:cs="Arial"/>
                <w:bCs/>
                <w:color w:val="000000"/>
                <w:sz w:val="20"/>
                <w:szCs w:val="20"/>
                <w:lang w:eastAsia="fi-FI"/>
              </w:rPr>
              <w:t xml:space="preserve"> (kyllästämättömät puujätteet)</w:t>
            </w:r>
          </w:p>
        </w:tc>
        <w:tc>
          <w:tcPr>
            <w:tcW w:w="1393" w:type="pct"/>
            <w:noWrap/>
            <w:hideMark/>
          </w:tcPr>
          <w:p w14:paraId="22EE5CF4"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0,091</w:t>
            </w:r>
          </w:p>
        </w:tc>
        <w:tc>
          <w:tcPr>
            <w:tcW w:w="1180" w:type="pct"/>
            <w:noWrap/>
            <w:hideMark/>
          </w:tcPr>
          <w:p w14:paraId="2D70CF83"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447830</w:t>
            </w:r>
          </w:p>
        </w:tc>
      </w:tr>
      <w:tr w:rsidR="00AA189C" w:rsidRPr="00C2479A" w14:paraId="50B1EAD8" w14:textId="77777777" w:rsidTr="00AA189C">
        <w:trPr>
          <w:trHeight w:val="290"/>
        </w:trPr>
        <w:tc>
          <w:tcPr>
            <w:tcW w:w="2427" w:type="pct"/>
            <w:noWrap/>
            <w:hideMark/>
          </w:tcPr>
          <w:p w14:paraId="2EF64A9E" w14:textId="77777777" w:rsidR="00AA189C" w:rsidRPr="00C2479A" w:rsidRDefault="00AA189C" w:rsidP="002D6673">
            <w:pPr>
              <w:rPr>
                <w:rFonts w:ascii="Arial" w:eastAsia="Times New Roman" w:hAnsi="Arial" w:cs="Arial"/>
                <w:bCs/>
                <w:color w:val="FFFFFF"/>
                <w:sz w:val="20"/>
                <w:szCs w:val="20"/>
                <w:lang w:eastAsia="fi-FI"/>
              </w:rPr>
            </w:pPr>
            <w:r w:rsidRPr="00C2479A">
              <w:rPr>
                <w:rFonts w:ascii="Arial" w:eastAsia="Times New Roman" w:hAnsi="Arial" w:cs="Arial"/>
                <w:bCs/>
                <w:color w:val="FFFFFF"/>
                <w:sz w:val="20"/>
                <w:szCs w:val="20"/>
                <w:lang w:eastAsia="fi-FI"/>
              </w:rPr>
              <w:t>Waste</w:t>
            </w:r>
          </w:p>
        </w:tc>
        <w:tc>
          <w:tcPr>
            <w:tcW w:w="1393" w:type="pct"/>
            <w:noWrap/>
            <w:hideMark/>
          </w:tcPr>
          <w:p w14:paraId="122FE8A7" w14:textId="77777777" w:rsidR="00AA189C" w:rsidRPr="00C2479A" w:rsidRDefault="00AA189C" w:rsidP="002D6673">
            <w:pPr>
              <w:rPr>
                <w:rFonts w:ascii="Times New Roman" w:eastAsia="Times New Roman" w:hAnsi="Times New Roman" w:cs="Times New Roman"/>
                <w:sz w:val="20"/>
                <w:szCs w:val="20"/>
                <w:lang w:eastAsia="fi-FI"/>
              </w:rPr>
            </w:pPr>
          </w:p>
        </w:tc>
        <w:tc>
          <w:tcPr>
            <w:tcW w:w="1180" w:type="pct"/>
            <w:noWrap/>
            <w:hideMark/>
          </w:tcPr>
          <w:p w14:paraId="52FD0B93" w14:textId="77777777" w:rsidR="00AA189C" w:rsidRPr="00C2479A" w:rsidRDefault="00AA189C" w:rsidP="002D6673">
            <w:pPr>
              <w:rPr>
                <w:rFonts w:ascii="Times New Roman" w:eastAsia="Times New Roman" w:hAnsi="Times New Roman" w:cs="Times New Roman"/>
                <w:sz w:val="20"/>
                <w:szCs w:val="20"/>
                <w:lang w:eastAsia="fi-FI"/>
              </w:rPr>
            </w:pPr>
          </w:p>
        </w:tc>
      </w:tr>
      <w:tr w:rsidR="00AA189C" w:rsidRPr="00C2479A" w14:paraId="7418CA0D" w14:textId="77777777" w:rsidTr="00AA189C">
        <w:trPr>
          <w:trHeight w:val="290"/>
        </w:trPr>
        <w:tc>
          <w:tcPr>
            <w:tcW w:w="2427" w:type="pct"/>
            <w:hideMark/>
          </w:tcPr>
          <w:p w14:paraId="548B39EF" w14:textId="77777777" w:rsidR="00AA189C" w:rsidRPr="00C2479A" w:rsidRDefault="00AA189C" w:rsidP="002D6673">
            <w:pPr>
              <w:rPr>
                <w:rFonts w:ascii="Arial" w:eastAsia="Times New Roman" w:hAnsi="Arial" w:cs="Arial"/>
                <w:bCs/>
                <w:color w:val="000000"/>
                <w:sz w:val="20"/>
                <w:szCs w:val="20"/>
                <w:lang w:eastAsia="fi-FI"/>
              </w:rPr>
            </w:pPr>
            <w:r w:rsidRPr="00C2479A">
              <w:rPr>
                <w:rFonts w:ascii="Arial" w:eastAsia="Times New Roman" w:hAnsi="Arial" w:cs="Arial"/>
                <w:bCs/>
                <w:color w:val="000000"/>
                <w:sz w:val="20"/>
                <w:szCs w:val="20"/>
                <w:lang w:eastAsia="fi-FI"/>
              </w:rPr>
              <w:t>Yhteensä</w:t>
            </w:r>
          </w:p>
        </w:tc>
        <w:tc>
          <w:tcPr>
            <w:tcW w:w="1393" w:type="pct"/>
            <w:noWrap/>
            <w:hideMark/>
          </w:tcPr>
          <w:p w14:paraId="27C5A5C3" w14:textId="77777777" w:rsidR="00AA189C" w:rsidRPr="00C2479A" w:rsidRDefault="00AA189C" w:rsidP="002D6673">
            <w:pPr>
              <w:jc w:val="right"/>
              <w:rPr>
                <w:rFonts w:ascii="Times New Roman" w:eastAsia="Times New Roman" w:hAnsi="Times New Roman" w:cs="Times New Roman"/>
                <w:sz w:val="20"/>
                <w:szCs w:val="20"/>
                <w:lang w:eastAsia="fi-FI"/>
              </w:rPr>
            </w:pPr>
            <w:r>
              <w:rPr>
                <w:rFonts w:ascii="Times New Roman" w:eastAsia="Times New Roman" w:hAnsi="Times New Roman" w:cs="Times New Roman"/>
                <w:sz w:val="20"/>
                <w:szCs w:val="20"/>
                <w:lang w:eastAsia="fi-FI"/>
              </w:rPr>
              <w:t>1,799</w:t>
            </w:r>
          </w:p>
        </w:tc>
        <w:tc>
          <w:tcPr>
            <w:tcW w:w="1180" w:type="pct"/>
            <w:noWrap/>
            <w:hideMark/>
          </w:tcPr>
          <w:p w14:paraId="6474E8ED" w14:textId="77777777" w:rsidR="00AA189C" w:rsidRPr="00C2479A" w:rsidRDefault="00AA189C" w:rsidP="002D6673">
            <w:pPr>
              <w:jc w:val="right"/>
              <w:rPr>
                <w:rFonts w:ascii="Calibri" w:eastAsia="Times New Roman" w:hAnsi="Calibri" w:cs="Calibri"/>
                <w:color w:val="000000"/>
                <w:lang w:eastAsia="fi-FI"/>
              </w:rPr>
            </w:pPr>
            <w:r w:rsidRPr="00C2479A">
              <w:rPr>
                <w:rFonts w:ascii="Calibri" w:eastAsia="Times New Roman" w:hAnsi="Calibri" w:cs="Calibri"/>
                <w:color w:val="000000"/>
                <w:lang w:eastAsia="fi-FI"/>
              </w:rPr>
              <w:t>8825291</w:t>
            </w:r>
          </w:p>
        </w:tc>
      </w:tr>
    </w:tbl>
    <w:p w14:paraId="760C3B85" w14:textId="77777777" w:rsidR="00AA189C" w:rsidRDefault="00AA189C" w:rsidP="00AA189C">
      <w:pPr>
        <w:jc w:val="both"/>
        <w:rPr>
          <w:rFonts w:ascii="Arial" w:hAnsi="Arial" w:cs="Arial"/>
          <w:sz w:val="24"/>
          <w:szCs w:val="24"/>
        </w:rPr>
      </w:pPr>
    </w:p>
    <w:p w14:paraId="2EDAC930" w14:textId="77777777" w:rsidR="00AA189C" w:rsidRDefault="00AA189C" w:rsidP="00AA189C">
      <w:pPr>
        <w:jc w:val="both"/>
        <w:rPr>
          <w:rFonts w:ascii="Arial" w:hAnsi="Arial" w:cs="Arial"/>
          <w:sz w:val="24"/>
          <w:szCs w:val="24"/>
        </w:rPr>
      </w:pPr>
    </w:p>
    <w:p w14:paraId="0B5E10B4" w14:textId="77777777" w:rsidR="00AA189C" w:rsidRDefault="00AA189C"/>
    <w:sectPr w:rsidR="00AA189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89C"/>
    <w:rsid w:val="0011149A"/>
    <w:rsid w:val="00191FFC"/>
    <w:rsid w:val="00AA189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6117"/>
  <w15:chartTrackingRefBased/>
  <w15:docId w15:val="{A9E9C38E-2DF7-4EF7-BDD0-DBC63E32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8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89C"/>
    <w:rPr>
      <w:rFonts w:ascii="Segoe UI" w:hAnsi="Segoe UI" w:cs="Segoe UI"/>
      <w:sz w:val="18"/>
      <w:szCs w:val="18"/>
    </w:rPr>
  </w:style>
  <w:style w:type="character" w:styleId="Hyperlink">
    <w:name w:val="Hyperlink"/>
    <w:basedOn w:val="DefaultParagraphFont"/>
    <w:uiPriority w:val="99"/>
    <w:unhideWhenUsed/>
    <w:rsid w:val="00AA189C"/>
    <w:rPr>
      <w:color w:val="0563C1" w:themeColor="hyperlink"/>
      <w:u w:val="single"/>
    </w:rPr>
  </w:style>
  <w:style w:type="table" w:styleId="TableGrid">
    <w:name w:val="Table Grid"/>
    <w:basedOn w:val="TableNormal"/>
    <w:uiPriority w:val="39"/>
    <w:rsid w:val="00AA1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ityloops.metabolismofcities.org/library/989983/"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348</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Kaakkois-Suomen Ammattikorkeakoulu Oy</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 Vuokko</dc:creator>
  <cp:keywords/>
  <dc:description/>
  <cp:lastModifiedBy>Malk Vuokko</cp:lastModifiedBy>
  <cp:revision>1</cp:revision>
  <dcterms:created xsi:type="dcterms:W3CDTF">2021-09-14T16:54:00Z</dcterms:created>
  <dcterms:modified xsi:type="dcterms:W3CDTF">2021-09-14T17:06:00Z</dcterms:modified>
</cp:coreProperties>
</file>